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9CD" w:rsidRPr="00832AD7" w:rsidRDefault="008549CD" w:rsidP="008549CD">
      <w:pPr>
        <w:spacing w:after="0" w:line="240" w:lineRule="auto"/>
        <w:rPr>
          <w:rFonts w:cs="David"/>
          <w:b/>
          <w:bCs/>
          <w:sz w:val="16"/>
          <w:szCs w:val="16"/>
          <w:rtl/>
        </w:rPr>
      </w:pPr>
      <w:bookmarkStart w:id="0" w:name="_GoBack"/>
      <w:bookmarkEnd w:id="0"/>
    </w:p>
    <w:p w:rsidR="008549CD" w:rsidRPr="00832AD7" w:rsidRDefault="008549CD" w:rsidP="008549CD">
      <w:pPr>
        <w:spacing w:after="0" w:line="240" w:lineRule="auto"/>
        <w:jc w:val="right"/>
        <w:rPr>
          <w:rFonts w:ascii="Times New Roman" w:eastAsia="Times New Roman" w:hAnsi="Times New Roman" w:cs="David"/>
          <w:sz w:val="16"/>
          <w:szCs w:val="16"/>
        </w:rPr>
      </w:pPr>
      <w:r>
        <w:rPr>
          <w:rFonts w:ascii="Times New Roman" w:eastAsia="Times New Roman" w:hAnsi="Times New Roman" w:cs="David" w:hint="cs"/>
          <w:sz w:val="16"/>
          <w:szCs w:val="16"/>
          <w:rtl/>
        </w:rPr>
        <w:t>9 ביולי 2023</w:t>
      </w:r>
    </w:p>
    <w:p w:rsidR="008549CD" w:rsidRPr="00832AD7" w:rsidRDefault="008549CD" w:rsidP="008549CD">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Pr>
          <w:rFonts w:ascii="Times New Roman" w:eastAsia="Times New Roman" w:hAnsi="Times New Roman" w:cs="David" w:hint="cs"/>
          <w:sz w:val="16"/>
          <w:szCs w:val="16"/>
          <w:rtl/>
        </w:rPr>
        <w:t>כ' בתמוז תשפ"ג</w:t>
      </w:r>
      <w:r w:rsidRPr="00832AD7">
        <w:rPr>
          <w:rFonts w:ascii="Times New Roman" w:eastAsia="Times New Roman" w:hAnsi="Times New Roman" w:cs="David" w:hint="cs"/>
          <w:sz w:val="16"/>
          <w:szCs w:val="16"/>
          <w:rtl/>
        </w:rPr>
        <w:fldChar w:fldCharType="end"/>
      </w:r>
    </w:p>
    <w:p w:rsidR="008549CD" w:rsidRDefault="008549CD" w:rsidP="008549CD">
      <w:pPr>
        <w:rPr>
          <w:rFonts w:ascii="David" w:hAnsi="David" w:cs="David"/>
          <w:b/>
          <w:bCs/>
          <w:sz w:val="24"/>
          <w:szCs w:val="24"/>
          <w:u w:val="single"/>
          <w:rtl/>
        </w:rPr>
      </w:pPr>
    </w:p>
    <w:p w:rsidR="008549CD" w:rsidRDefault="008549CD" w:rsidP="008549CD">
      <w:pPr>
        <w:jc w:val="center"/>
        <w:rPr>
          <w:rFonts w:ascii="David" w:hAnsi="David" w:cs="David"/>
          <w:b/>
          <w:bCs/>
          <w:sz w:val="24"/>
          <w:szCs w:val="24"/>
          <w:u w:val="single"/>
          <w:rtl/>
        </w:rPr>
      </w:pPr>
      <w:r>
        <w:rPr>
          <w:rFonts w:ascii="David" w:hAnsi="David" w:cs="David" w:hint="cs"/>
          <w:b/>
          <w:bCs/>
          <w:sz w:val="24"/>
          <w:szCs w:val="24"/>
          <w:u w:val="single"/>
          <w:rtl/>
        </w:rPr>
        <w:t>תקציר גז"ד תפ"ח</w:t>
      </w:r>
      <w:r w:rsidRPr="00AF37A0">
        <w:rPr>
          <w:rFonts w:ascii="David" w:hAnsi="David" w:cs="David"/>
          <w:b/>
          <w:bCs/>
          <w:sz w:val="24"/>
          <w:szCs w:val="24"/>
          <w:u w:val="single"/>
          <w:rtl/>
        </w:rPr>
        <w:t xml:space="preserve"> </w:t>
      </w:r>
      <w:r>
        <w:rPr>
          <w:rFonts w:ascii="David" w:hAnsi="David" w:cs="David" w:hint="cs"/>
          <w:b/>
          <w:bCs/>
          <w:sz w:val="24"/>
          <w:szCs w:val="24"/>
          <w:u w:val="single"/>
          <w:rtl/>
        </w:rPr>
        <w:t>556</w:t>
      </w:r>
      <w:r w:rsidRPr="00AF37A0">
        <w:rPr>
          <w:rFonts w:ascii="David" w:hAnsi="David" w:cs="David"/>
          <w:b/>
          <w:bCs/>
          <w:sz w:val="24"/>
          <w:szCs w:val="24"/>
          <w:u w:val="single"/>
          <w:rtl/>
        </w:rPr>
        <w:t>3</w:t>
      </w:r>
      <w:r>
        <w:rPr>
          <w:rFonts w:ascii="David" w:hAnsi="David" w:cs="David" w:hint="cs"/>
          <w:b/>
          <w:bCs/>
          <w:sz w:val="24"/>
          <w:szCs w:val="24"/>
          <w:u w:val="single"/>
          <w:rtl/>
        </w:rPr>
        <w:t>9</w:t>
      </w:r>
      <w:r w:rsidRPr="00AF37A0">
        <w:rPr>
          <w:rFonts w:ascii="David" w:hAnsi="David" w:cs="David"/>
          <w:b/>
          <w:bCs/>
          <w:sz w:val="24"/>
          <w:szCs w:val="24"/>
          <w:u w:val="single"/>
          <w:rtl/>
        </w:rPr>
        <w:t>-05-</w:t>
      </w:r>
      <w:r>
        <w:rPr>
          <w:rFonts w:ascii="David" w:hAnsi="David" w:cs="David" w:hint="cs"/>
          <w:b/>
          <w:bCs/>
          <w:sz w:val="24"/>
          <w:szCs w:val="24"/>
          <w:u w:val="single"/>
          <w:rtl/>
        </w:rPr>
        <w:t>17</w:t>
      </w:r>
      <w:r w:rsidRPr="00AF37A0">
        <w:rPr>
          <w:rFonts w:ascii="David" w:hAnsi="David" w:cs="David"/>
          <w:b/>
          <w:bCs/>
          <w:sz w:val="24"/>
          <w:szCs w:val="24"/>
          <w:u w:val="single"/>
          <w:rtl/>
        </w:rPr>
        <w:t xml:space="preserve"> </w:t>
      </w:r>
      <w:r>
        <w:rPr>
          <w:rFonts w:ascii="David" w:hAnsi="David" w:cs="David" w:hint="cs"/>
          <w:b/>
          <w:bCs/>
          <w:sz w:val="24"/>
          <w:szCs w:val="24"/>
          <w:u w:val="single"/>
          <w:rtl/>
        </w:rPr>
        <w:t>מדינת ישראל נגד בוקובזה</w:t>
      </w:r>
    </w:p>
    <w:p w:rsidR="008549CD" w:rsidRDefault="00D37825" w:rsidP="008549CD">
      <w:pPr>
        <w:jc w:val="center"/>
        <w:rPr>
          <w:rFonts w:ascii="David" w:hAnsi="David" w:cs="David"/>
          <w:b/>
          <w:bCs/>
          <w:sz w:val="24"/>
          <w:szCs w:val="24"/>
          <w:u w:val="single"/>
          <w:rtl/>
        </w:rPr>
      </w:pPr>
      <w:r>
        <w:rPr>
          <w:rFonts w:ascii="David" w:hAnsi="David" w:cs="David" w:hint="cs"/>
          <w:b/>
          <w:bCs/>
          <w:sz w:val="24"/>
          <w:szCs w:val="24"/>
          <w:u w:val="single"/>
          <w:rtl/>
        </w:rPr>
        <w:t>אב"ד</w:t>
      </w:r>
      <w:r w:rsidR="008549CD">
        <w:rPr>
          <w:rFonts w:ascii="David" w:hAnsi="David" w:cs="David" w:hint="cs"/>
          <w:b/>
          <w:bCs/>
          <w:sz w:val="24"/>
          <w:szCs w:val="24"/>
          <w:u w:val="single"/>
          <w:rtl/>
        </w:rPr>
        <w:t xml:space="preserve"> </w:t>
      </w:r>
      <w:r>
        <w:rPr>
          <w:rFonts w:ascii="David" w:hAnsi="David" w:cs="David" w:hint="cs"/>
          <w:b/>
          <w:bCs/>
          <w:sz w:val="24"/>
          <w:szCs w:val="24"/>
          <w:u w:val="single"/>
          <w:rtl/>
        </w:rPr>
        <w:t xml:space="preserve">השופטת </w:t>
      </w:r>
      <w:r w:rsidR="008549CD">
        <w:rPr>
          <w:rFonts w:ascii="David" w:hAnsi="David" w:cs="David" w:hint="cs"/>
          <w:b/>
          <w:bCs/>
          <w:sz w:val="24"/>
          <w:szCs w:val="24"/>
          <w:u w:val="single"/>
          <w:rtl/>
        </w:rPr>
        <w:t>יעל רז-לוי</w:t>
      </w:r>
      <w:r>
        <w:rPr>
          <w:rFonts w:ascii="David" w:hAnsi="David" w:cs="David" w:hint="cs"/>
          <w:b/>
          <w:bCs/>
          <w:sz w:val="24"/>
          <w:szCs w:val="24"/>
          <w:u w:val="single"/>
          <w:rtl/>
        </w:rPr>
        <w:t>, השופטת גילת שלו, השופט אהרון משניות</w:t>
      </w:r>
    </w:p>
    <w:p w:rsidR="00327C24" w:rsidRDefault="00B915DB" w:rsidP="000B7DE7">
      <w:pPr>
        <w:spacing w:line="360" w:lineRule="auto"/>
        <w:jc w:val="both"/>
        <w:rPr>
          <w:rFonts w:ascii="David" w:hAnsi="David" w:cs="David"/>
          <w:sz w:val="24"/>
          <w:szCs w:val="24"/>
          <w:rtl/>
        </w:rPr>
      </w:pPr>
      <w:r>
        <w:rPr>
          <w:rFonts w:ascii="David" w:hAnsi="David" w:cs="David" w:hint="cs"/>
          <w:sz w:val="24"/>
          <w:szCs w:val="24"/>
          <w:rtl/>
        </w:rPr>
        <w:t xml:space="preserve">הנאשם הורשע ביום 30.1.23 לאחר שמיעת הראיות </w:t>
      </w:r>
      <w:r w:rsidR="00DA35D2">
        <w:rPr>
          <w:rFonts w:ascii="David" w:hAnsi="David" w:cs="David" w:hint="cs"/>
          <w:sz w:val="24"/>
          <w:szCs w:val="24"/>
          <w:rtl/>
        </w:rPr>
        <w:t>בעבירות של המתה באחריות מופחתת של המנוח אבי אלתר ז"ל; נסיון לרצח של גרושתו, הצתת ביתה והחזקת נשק, אקדחו של המנוח אותו נטל ממנו לאחר הרצח; וכן בהצתת רכבו כשהוא בתוכו, בכניסה לחניון בית המשפט העליון</w:t>
      </w:r>
      <w:r w:rsidR="000B7DE7">
        <w:rPr>
          <w:rFonts w:ascii="David" w:hAnsi="David" w:cs="David" w:hint="cs"/>
          <w:sz w:val="24"/>
          <w:szCs w:val="24"/>
          <w:rtl/>
        </w:rPr>
        <w:t xml:space="preserve">. </w:t>
      </w:r>
    </w:p>
    <w:p w:rsidR="00A9794F" w:rsidRDefault="00B915DB" w:rsidP="00DA35D2">
      <w:pPr>
        <w:spacing w:line="360" w:lineRule="auto"/>
        <w:jc w:val="both"/>
        <w:rPr>
          <w:rFonts w:ascii="David" w:hAnsi="David" w:cs="David"/>
          <w:sz w:val="24"/>
          <w:szCs w:val="24"/>
          <w:rtl/>
        </w:rPr>
      </w:pPr>
      <w:r w:rsidRPr="00DA35D2">
        <w:rPr>
          <w:rFonts w:ascii="David" w:hAnsi="David" w:cs="David" w:hint="cs"/>
          <w:sz w:val="24"/>
          <w:szCs w:val="24"/>
          <w:rtl/>
        </w:rPr>
        <w:t xml:space="preserve">בית המשפט קבע כי </w:t>
      </w:r>
      <w:r>
        <w:rPr>
          <w:rFonts w:ascii="David" w:hAnsi="David" w:cs="David" w:hint="cs"/>
          <w:sz w:val="24"/>
          <w:szCs w:val="24"/>
          <w:rtl/>
        </w:rPr>
        <w:t xml:space="preserve">הנאשם במעשיו במסגרת האישום הראשון </w:t>
      </w:r>
      <w:r w:rsidR="000B7DE7">
        <w:rPr>
          <w:rFonts w:ascii="David" w:hAnsi="David" w:cs="David" w:hint="cs"/>
          <w:sz w:val="24"/>
          <w:szCs w:val="24"/>
          <w:rtl/>
        </w:rPr>
        <w:t xml:space="preserve">פגע בצורה </w:t>
      </w:r>
      <w:r w:rsidRPr="00B672D3">
        <w:rPr>
          <w:rFonts w:ascii="David" w:hAnsi="David" w:cs="David" w:hint="cs"/>
          <w:sz w:val="24"/>
          <w:szCs w:val="24"/>
          <w:rtl/>
        </w:rPr>
        <w:t>חמורה וקשה בערך החשוב ביותר של קדושת החיים</w:t>
      </w:r>
      <w:r w:rsidR="00CF6774">
        <w:rPr>
          <w:rFonts w:ascii="David" w:hAnsi="David" w:cs="David" w:hint="cs"/>
          <w:sz w:val="24"/>
          <w:szCs w:val="24"/>
          <w:rtl/>
        </w:rPr>
        <w:t>,</w:t>
      </w:r>
      <w:r>
        <w:rPr>
          <w:rFonts w:ascii="David" w:hAnsi="David" w:cs="David" w:hint="cs"/>
          <w:sz w:val="24"/>
          <w:szCs w:val="24"/>
          <w:rtl/>
        </w:rPr>
        <w:t xml:space="preserve"> וההגנה על בטחונו של אדם. וכי מתקיימות במעשיו נסיבות מחמירות רבות כגון העובדה של</w:t>
      </w:r>
      <w:r w:rsidR="00CF6774">
        <w:rPr>
          <w:rFonts w:ascii="David" w:hAnsi="David" w:cs="David" w:hint="cs"/>
          <w:sz w:val="24"/>
          <w:szCs w:val="24"/>
          <w:rtl/>
        </w:rPr>
        <w:t xml:space="preserve">מעשיו </w:t>
      </w:r>
      <w:r>
        <w:rPr>
          <w:rFonts w:ascii="David" w:hAnsi="David" w:cs="David" w:hint="cs"/>
          <w:sz w:val="24"/>
          <w:szCs w:val="24"/>
          <w:rtl/>
        </w:rPr>
        <w:t>קדם תכנון מפורט, שכלל את הזמנת המנוח שהיה חברו אל דירתו</w:t>
      </w:r>
      <w:r w:rsidR="00880018">
        <w:rPr>
          <w:rFonts w:ascii="David" w:hAnsi="David" w:cs="David" w:hint="cs"/>
          <w:sz w:val="24"/>
          <w:szCs w:val="24"/>
          <w:rtl/>
        </w:rPr>
        <w:t xml:space="preserve"> בתואנת שווא</w:t>
      </w:r>
      <w:r>
        <w:rPr>
          <w:rFonts w:ascii="David" w:hAnsi="David" w:cs="David" w:hint="cs"/>
          <w:sz w:val="24"/>
          <w:szCs w:val="24"/>
          <w:rtl/>
        </w:rPr>
        <w:t>,</w:t>
      </w:r>
      <w:r w:rsidR="00880018">
        <w:rPr>
          <w:rFonts w:ascii="David" w:hAnsi="David" w:cs="David" w:hint="cs"/>
          <w:sz w:val="24"/>
          <w:szCs w:val="24"/>
          <w:rtl/>
        </w:rPr>
        <w:t xml:space="preserve"> כ</w:t>
      </w:r>
      <w:r w:rsidR="00CF6774">
        <w:rPr>
          <w:rFonts w:ascii="David" w:hAnsi="David" w:cs="David" w:hint="cs"/>
          <w:sz w:val="24"/>
          <w:szCs w:val="24"/>
          <w:rtl/>
        </w:rPr>
        <w:t>אשר ב</w:t>
      </w:r>
      <w:r w:rsidR="00880018">
        <w:rPr>
          <w:rFonts w:ascii="David" w:hAnsi="David" w:cs="David" w:hint="cs"/>
          <w:sz w:val="24"/>
          <w:szCs w:val="24"/>
          <w:rtl/>
        </w:rPr>
        <w:t>דירה</w:t>
      </w:r>
      <w:r w:rsidR="00CF6774">
        <w:rPr>
          <w:rFonts w:ascii="David" w:hAnsi="David" w:cs="David" w:hint="cs"/>
          <w:sz w:val="24"/>
          <w:szCs w:val="24"/>
          <w:rtl/>
        </w:rPr>
        <w:t xml:space="preserve"> הכין מבעוד מועד</w:t>
      </w:r>
      <w:r>
        <w:rPr>
          <w:rFonts w:ascii="David" w:hAnsi="David" w:cs="David" w:hint="cs"/>
          <w:sz w:val="24"/>
          <w:szCs w:val="24"/>
          <w:rtl/>
        </w:rPr>
        <w:t xml:space="preserve"> </w:t>
      </w:r>
      <w:r w:rsidRPr="00F463BC">
        <w:rPr>
          <w:rFonts w:ascii="David" w:hAnsi="David" w:cs="David"/>
          <w:sz w:val="24"/>
          <w:szCs w:val="24"/>
          <w:rtl/>
        </w:rPr>
        <w:t xml:space="preserve">כלי משחית </w:t>
      </w:r>
      <w:r w:rsidRPr="00F463BC">
        <w:rPr>
          <w:rFonts w:ascii="David" w:hAnsi="David" w:cs="David" w:hint="eastAsia"/>
          <w:sz w:val="24"/>
          <w:szCs w:val="24"/>
          <w:rtl/>
        </w:rPr>
        <w:t>רבים</w:t>
      </w:r>
      <w:r w:rsidRPr="00F463BC">
        <w:rPr>
          <w:rFonts w:ascii="David" w:hAnsi="David" w:cs="David"/>
          <w:sz w:val="24"/>
          <w:szCs w:val="24"/>
          <w:rtl/>
        </w:rPr>
        <w:t xml:space="preserve"> </w:t>
      </w:r>
      <w:r w:rsidRPr="00F463BC">
        <w:rPr>
          <w:rFonts w:ascii="David" w:hAnsi="David" w:cs="David" w:hint="eastAsia"/>
          <w:sz w:val="24"/>
          <w:szCs w:val="24"/>
          <w:rtl/>
        </w:rPr>
        <w:t>לתקיפת</w:t>
      </w:r>
      <w:r>
        <w:rPr>
          <w:rFonts w:ascii="David" w:hAnsi="David" w:cs="David"/>
          <w:sz w:val="24"/>
          <w:szCs w:val="24"/>
          <w:rtl/>
        </w:rPr>
        <w:t xml:space="preserve"> המנוח</w:t>
      </w:r>
      <w:r>
        <w:rPr>
          <w:rFonts w:ascii="David" w:hAnsi="David" w:cs="David" w:hint="cs"/>
          <w:sz w:val="24"/>
          <w:szCs w:val="24"/>
          <w:rtl/>
        </w:rPr>
        <w:t xml:space="preserve">, העובדה </w:t>
      </w:r>
      <w:r w:rsidR="00CF6774">
        <w:rPr>
          <w:rFonts w:ascii="David" w:hAnsi="David" w:cs="David" w:hint="cs"/>
          <w:sz w:val="24"/>
          <w:szCs w:val="24"/>
          <w:rtl/>
        </w:rPr>
        <w:t>ש</w:t>
      </w:r>
      <w:r w:rsidRPr="00F463BC">
        <w:rPr>
          <w:rFonts w:ascii="David" w:hAnsi="David" w:cs="David" w:hint="eastAsia"/>
          <w:sz w:val="24"/>
          <w:szCs w:val="24"/>
          <w:rtl/>
        </w:rPr>
        <w:t>הנאשם</w:t>
      </w:r>
      <w:r w:rsidRPr="00F463BC">
        <w:rPr>
          <w:rFonts w:ascii="David" w:hAnsi="David" w:cs="David"/>
          <w:sz w:val="24"/>
          <w:szCs w:val="24"/>
          <w:rtl/>
        </w:rPr>
        <w:t xml:space="preserve"> </w:t>
      </w:r>
      <w:r>
        <w:rPr>
          <w:rFonts w:ascii="David" w:hAnsi="David" w:cs="David" w:hint="cs"/>
          <w:sz w:val="24"/>
          <w:szCs w:val="24"/>
          <w:rtl/>
        </w:rPr>
        <w:t>פגע במנוח</w:t>
      </w:r>
      <w:r w:rsidR="00CF6774">
        <w:rPr>
          <w:rFonts w:ascii="David" w:hAnsi="David" w:cs="David" w:hint="cs"/>
          <w:sz w:val="24"/>
          <w:szCs w:val="24"/>
          <w:rtl/>
        </w:rPr>
        <w:t xml:space="preserve"> באכזריות רבה באמצעות </w:t>
      </w:r>
      <w:r w:rsidRPr="00F463BC">
        <w:rPr>
          <w:rFonts w:ascii="David" w:hAnsi="David" w:cs="David"/>
          <w:sz w:val="24"/>
          <w:szCs w:val="24"/>
          <w:rtl/>
        </w:rPr>
        <w:t>חץ בבטנו</w:t>
      </w:r>
      <w:r>
        <w:rPr>
          <w:rFonts w:ascii="David" w:hAnsi="David" w:cs="David" w:hint="cs"/>
          <w:sz w:val="24"/>
          <w:szCs w:val="24"/>
          <w:rtl/>
        </w:rPr>
        <w:t xml:space="preserve">, ולאחר מכן </w:t>
      </w:r>
      <w:r w:rsidRPr="00F463BC">
        <w:rPr>
          <w:rFonts w:ascii="David" w:hAnsi="David" w:cs="David"/>
          <w:sz w:val="24"/>
          <w:szCs w:val="24"/>
          <w:rtl/>
        </w:rPr>
        <w:t xml:space="preserve">המשיך </w:t>
      </w:r>
      <w:r>
        <w:rPr>
          <w:rFonts w:ascii="David" w:hAnsi="David" w:cs="David" w:hint="cs"/>
          <w:sz w:val="24"/>
          <w:szCs w:val="24"/>
          <w:rtl/>
        </w:rPr>
        <w:t>להכות את המנוח ב</w:t>
      </w:r>
      <w:r w:rsidRPr="00F463BC">
        <w:rPr>
          <w:rFonts w:ascii="David" w:hAnsi="David" w:cs="David" w:hint="eastAsia"/>
          <w:sz w:val="24"/>
          <w:szCs w:val="24"/>
          <w:rtl/>
        </w:rPr>
        <w:t>ראשו</w:t>
      </w:r>
      <w:r w:rsidRPr="00F463BC">
        <w:rPr>
          <w:rFonts w:ascii="David" w:hAnsi="David" w:cs="David"/>
          <w:sz w:val="24"/>
          <w:szCs w:val="24"/>
          <w:rtl/>
        </w:rPr>
        <w:t xml:space="preserve"> </w:t>
      </w:r>
      <w:r w:rsidRPr="00F463BC">
        <w:rPr>
          <w:rFonts w:ascii="David" w:hAnsi="David" w:cs="David" w:hint="eastAsia"/>
          <w:sz w:val="24"/>
          <w:szCs w:val="24"/>
          <w:rtl/>
        </w:rPr>
        <w:t>באלה</w:t>
      </w:r>
      <w:r w:rsidRPr="00F463BC">
        <w:rPr>
          <w:rFonts w:ascii="David" w:hAnsi="David" w:cs="David"/>
          <w:sz w:val="24"/>
          <w:szCs w:val="24"/>
          <w:rtl/>
        </w:rPr>
        <w:t xml:space="preserve">, </w:t>
      </w:r>
      <w:r w:rsidRPr="00F463BC">
        <w:rPr>
          <w:rFonts w:ascii="David" w:hAnsi="David" w:cs="David" w:hint="eastAsia"/>
          <w:sz w:val="24"/>
          <w:szCs w:val="24"/>
          <w:rtl/>
        </w:rPr>
        <w:t>דקר</w:t>
      </w:r>
      <w:r w:rsidRPr="00F463BC">
        <w:rPr>
          <w:rFonts w:ascii="David" w:hAnsi="David" w:cs="David"/>
          <w:sz w:val="24"/>
          <w:szCs w:val="24"/>
          <w:rtl/>
        </w:rPr>
        <w:t xml:space="preserve"> </w:t>
      </w:r>
      <w:r w:rsidRPr="00F463BC">
        <w:rPr>
          <w:rFonts w:ascii="David" w:hAnsi="David" w:cs="David" w:hint="eastAsia"/>
          <w:sz w:val="24"/>
          <w:szCs w:val="24"/>
          <w:rtl/>
        </w:rPr>
        <w:t>אותו</w:t>
      </w:r>
      <w:r w:rsidRPr="00F463BC">
        <w:rPr>
          <w:rFonts w:ascii="David" w:hAnsi="David" w:cs="David"/>
          <w:sz w:val="24"/>
          <w:szCs w:val="24"/>
          <w:rtl/>
        </w:rPr>
        <w:t xml:space="preserve"> </w:t>
      </w:r>
      <w:r w:rsidRPr="00F463BC">
        <w:rPr>
          <w:rFonts w:ascii="David" w:hAnsi="David" w:cs="David" w:hint="eastAsia"/>
          <w:sz w:val="24"/>
          <w:szCs w:val="24"/>
          <w:rtl/>
        </w:rPr>
        <w:t>בעכוזו</w:t>
      </w:r>
      <w:r w:rsidRPr="00F463BC">
        <w:rPr>
          <w:rFonts w:ascii="David" w:hAnsi="David" w:cs="David"/>
          <w:sz w:val="24"/>
          <w:szCs w:val="24"/>
          <w:rtl/>
        </w:rPr>
        <w:t xml:space="preserve"> </w:t>
      </w:r>
      <w:r w:rsidRPr="00F463BC">
        <w:rPr>
          <w:rFonts w:ascii="David" w:hAnsi="David" w:cs="David" w:hint="eastAsia"/>
          <w:sz w:val="24"/>
          <w:szCs w:val="24"/>
          <w:rtl/>
        </w:rPr>
        <w:t>ואף</w:t>
      </w:r>
      <w:r w:rsidRPr="00F463BC">
        <w:rPr>
          <w:rFonts w:ascii="David" w:hAnsi="David" w:cs="David"/>
          <w:sz w:val="24"/>
          <w:szCs w:val="24"/>
          <w:rtl/>
        </w:rPr>
        <w:t xml:space="preserve"> </w:t>
      </w:r>
      <w:r w:rsidRPr="00F463BC">
        <w:rPr>
          <w:rFonts w:ascii="David" w:hAnsi="David" w:cs="David" w:hint="eastAsia"/>
          <w:sz w:val="24"/>
          <w:szCs w:val="24"/>
          <w:rtl/>
        </w:rPr>
        <w:t>שפך</w:t>
      </w:r>
      <w:r w:rsidRPr="00F463BC">
        <w:rPr>
          <w:rFonts w:ascii="David" w:hAnsi="David" w:cs="David"/>
          <w:sz w:val="24"/>
          <w:szCs w:val="24"/>
          <w:rtl/>
        </w:rPr>
        <w:t xml:space="preserve"> </w:t>
      </w:r>
      <w:r w:rsidRPr="00F463BC">
        <w:rPr>
          <w:rFonts w:ascii="David" w:hAnsi="David" w:cs="David" w:hint="eastAsia"/>
          <w:sz w:val="24"/>
          <w:szCs w:val="24"/>
          <w:rtl/>
        </w:rPr>
        <w:t>עליו</w:t>
      </w:r>
      <w:r w:rsidRPr="00F463BC">
        <w:rPr>
          <w:rFonts w:ascii="David" w:hAnsi="David" w:cs="David"/>
          <w:sz w:val="24"/>
          <w:szCs w:val="24"/>
          <w:rtl/>
        </w:rPr>
        <w:t xml:space="preserve"> </w:t>
      </w:r>
      <w:r w:rsidRPr="00F463BC">
        <w:rPr>
          <w:rFonts w:ascii="David" w:hAnsi="David" w:cs="David" w:hint="eastAsia"/>
          <w:sz w:val="24"/>
          <w:szCs w:val="24"/>
          <w:rtl/>
        </w:rPr>
        <w:t>חומצה</w:t>
      </w:r>
      <w:r w:rsidR="00CF6774">
        <w:rPr>
          <w:rFonts w:ascii="David" w:hAnsi="David" w:cs="David" w:hint="cs"/>
          <w:sz w:val="24"/>
          <w:szCs w:val="24"/>
          <w:rtl/>
        </w:rPr>
        <w:t xml:space="preserve"> והותיר אותו בדירה מתבוסס בדמו</w:t>
      </w:r>
      <w:r>
        <w:rPr>
          <w:rFonts w:ascii="David" w:hAnsi="David" w:cs="David" w:hint="cs"/>
          <w:sz w:val="24"/>
          <w:szCs w:val="24"/>
          <w:rtl/>
        </w:rPr>
        <w:t xml:space="preserve"> עד שבסופו של דבר נפח את נשמתו; כאשר ה</w:t>
      </w:r>
      <w:r w:rsidRPr="000B7DE7">
        <w:rPr>
          <w:rFonts w:ascii="David" w:hAnsi="David" w:cs="David" w:hint="eastAsia"/>
          <w:sz w:val="24"/>
          <w:szCs w:val="24"/>
          <w:rtl/>
        </w:rPr>
        <w:t>נזק</w:t>
      </w:r>
      <w:r w:rsidRPr="000B7DE7">
        <w:rPr>
          <w:rFonts w:ascii="David" w:hAnsi="David" w:cs="David"/>
          <w:sz w:val="24"/>
          <w:szCs w:val="24"/>
          <w:rtl/>
        </w:rPr>
        <w:t xml:space="preserve"> </w:t>
      </w:r>
      <w:r w:rsidRPr="000B7DE7">
        <w:rPr>
          <w:rFonts w:ascii="David" w:hAnsi="David" w:cs="David" w:hint="eastAsia"/>
          <w:sz w:val="24"/>
          <w:szCs w:val="24"/>
          <w:rtl/>
        </w:rPr>
        <w:t>שנגרם</w:t>
      </w:r>
      <w:r w:rsidRPr="000B7DE7">
        <w:rPr>
          <w:rFonts w:ascii="David" w:hAnsi="David" w:cs="David"/>
          <w:sz w:val="24"/>
          <w:szCs w:val="24"/>
          <w:rtl/>
        </w:rPr>
        <w:t xml:space="preserve"> </w:t>
      </w:r>
      <w:r w:rsidRPr="000B7DE7">
        <w:rPr>
          <w:rFonts w:ascii="David" w:hAnsi="David" w:cs="David" w:hint="eastAsia"/>
          <w:sz w:val="24"/>
          <w:szCs w:val="24"/>
          <w:rtl/>
        </w:rPr>
        <w:t>כתוצאה</w:t>
      </w:r>
      <w:r w:rsidRPr="000B7DE7">
        <w:rPr>
          <w:rFonts w:ascii="David" w:hAnsi="David" w:cs="David"/>
          <w:sz w:val="24"/>
          <w:szCs w:val="24"/>
          <w:rtl/>
        </w:rPr>
        <w:t xml:space="preserve"> </w:t>
      </w:r>
      <w:r w:rsidRPr="000B7DE7">
        <w:rPr>
          <w:rFonts w:ascii="David" w:hAnsi="David" w:cs="David" w:hint="eastAsia"/>
          <w:sz w:val="24"/>
          <w:szCs w:val="24"/>
          <w:rtl/>
        </w:rPr>
        <w:t>מביצוע</w:t>
      </w:r>
      <w:r w:rsidRPr="000B7DE7">
        <w:rPr>
          <w:rFonts w:ascii="David" w:hAnsi="David" w:cs="David"/>
          <w:sz w:val="24"/>
          <w:szCs w:val="24"/>
          <w:rtl/>
        </w:rPr>
        <w:t xml:space="preserve"> </w:t>
      </w:r>
      <w:r w:rsidRPr="000B7DE7">
        <w:rPr>
          <w:rFonts w:ascii="David" w:hAnsi="David" w:cs="David" w:hint="eastAsia"/>
          <w:sz w:val="24"/>
          <w:szCs w:val="24"/>
          <w:rtl/>
        </w:rPr>
        <w:t>העבירה</w:t>
      </w:r>
      <w:r w:rsidRPr="00F463BC">
        <w:rPr>
          <w:rFonts w:ascii="David" w:hAnsi="David" w:cs="David"/>
          <w:sz w:val="24"/>
          <w:szCs w:val="24"/>
          <w:rtl/>
        </w:rPr>
        <w:t xml:space="preserve"> </w:t>
      </w:r>
      <w:r w:rsidR="000B7DE7">
        <w:rPr>
          <w:rFonts w:ascii="David" w:hAnsi="David" w:cs="David" w:hint="cs"/>
          <w:sz w:val="24"/>
          <w:szCs w:val="24"/>
          <w:rtl/>
        </w:rPr>
        <w:t xml:space="preserve">, </w:t>
      </w:r>
      <w:r w:rsidRPr="00F463BC">
        <w:rPr>
          <w:rFonts w:ascii="David" w:hAnsi="David" w:cs="David" w:hint="eastAsia"/>
          <w:sz w:val="24"/>
          <w:szCs w:val="24"/>
          <w:rtl/>
        </w:rPr>
        <w:t>ה</w:t>
      </w:r>
      <w:r>
        <w:rPr>
          <w:rFonts w:ascii="David" w:hAnsi="David" w:cs="David" w:hint="cs"/>
          <w:sz w:val="24"/>
          <w:szCs w:val="24"/>
          <w:rtl/>
        </w:rPr>
        <w:t>וא ה</w:t>
      </w:r>
      <w:r w:rsidRPr="00F463BC">
        <w:rPr>
          <w:rFonts w:ascii="David" w:hAnsi="David" w:cs="David" w:hint="eastAsia"/>
          <w:sz w:val="24"/>
          <w:szCs w:val="24"/>
          <w:rtl/>
        </w:rPr>
        <w:t>נזק</w:t>
      </w:r>
      <w:r w:rsidRPr="00F463BC">
        <w:rPr>
          <w:rFonts w:ascii="David" w:hAnsi="David" w:cs="David"/>
          <w:sz w:val="24"/>
          <w:szCs w:val="24"/>
          <w:rtl/>
        </w:rPr>
        <w:t xml:space="preserve"> </w:t>
      </w:r>
      <w:r w:rsidRPr="00F463BC">
        <w:rPr>
          <w:rFonts w:ascii="David" w:hAnsi="David" w:cs="David" w:hint="eastAsia"/>
          <w:sz w:val="24"/>
          <w:szCs w:val="24"/>
          <w:rtl/>
        </w:rPr>
        <w:t>הקשה</w:t>
      </w:r>
      <w:r w:rsidRPr="00F463BC">
        <w:rPr>
          <w:rFonts w:ascii="David" w:hAnsi="David" w:cs="David"/>
          <w:sz w:val="24"/>
          <w:szCs w:val="24"/>
          <w:rtl/>
        </w:rPr>
        <w:t xml:space="preserve"> </w:t>
      </w:r>
      <w:r w:rsidRPr="00F463BC">
        <w:rPr>
          <w:rFonts w:ascii="David" w:hAnsi="David" w:cs="David" w:hint="eastAsia"/>
          <w:sz w:val="24"/>
          <w:szCs w:val="24"/>
          <w:rtl/>
        </w:rPr>
        <w:t>מכל</w:t>
      </w:r>
      <w:r w:rsidRPr="00F463BC">
        <w:rPr>
          <w:rFonts w:ascii="David" w:hAnsi="David" w:cs="David"/>
          <w:sz w:val="24"/>
          <w:szCs w:val="24"/>
          <w:rtl/>
        </w:rPr>
        <w:t xml:space="preserve">, </w:t>
      </w:r>
      <w:r w:rsidRPr="00F463BC">
        <w:rPr>
          <w:rFonts w:ascii="David" w:hAnsi="David" w:cs="David" w:hint="eastAsia"/>
          <w:sz w:val="24"/>
          <w:szCs w:val="24"/>
          <w:rtl/>
        </w:rPr>
        <w:t>מותו</w:t>
      </w:r>
      <w:r w:rsidRPr="00F463BC">
        <w:rPr>
          <w:rFonts w:ascii="David" w:hAnsi="David" w:cs="David"/>
          <w:sz w:val="24"/>
          <w:szCs w:val="24"/>
          <w:rtl/>
        </w:rPr>
        <w:t xml:space="preserve"> </w:t>
      </w:r>
      <w:r w:rsidRPr="00F463BC">
        <w:rPr>
          <w:rFonts w:ascii="David" w:hAnsi="David" w:cs="David" w:hint="eastAsia"/>
          <w:sz w:val="24"/>
          <w:szCs w:val="24"/>
          <w:rtl/>
        </w:rPr>
        <w:t>של</w:t>
      </w:r>
      <w:r w:rsidRPr="00F463BC">
        <w:rPr>
          <w:rFonts w:ascii="David" w:hAnsi="David" w:cs="David"/>
          <w:sz w:val="24"/>
          <w:szCs w:val="24"/>
          <w:rtl/>
        </w:rPr>
        <w:t xml:space="preserve"> </w:t>
      </w:r>
      <w:r w:rsidRPr="00F463BC">
        <w:rPr>
          <w:rFonts w:ascii="David" w:hAnsi="David" w:cs="David" w:hint="eastAsia"/>
          <w:sz w:val="24"/>
          <w:szCs w:val="24"/>
          <w:rtl/>
        </w:rPr>
        <w:t>אדם</w:t>
      </w:r>
      <w:r>
        <w:rPr>
          <w:rFonts w:ascii="David" w:hAnsi="David" w:cs="David" w:hint="cs"/>
          <w:sz w:val="24"/>
          <w:szCs w:val="24"/>
          <w:rtl/>
        </w:rPr>
        <w:t>, איש משפחה שהיה דמות משמעותית לכל בני משפחתו</w:t>
      </w:r>
      <w:r w:rsidRPr="00F463BC">
        <w:rPr>
          <w:rFonts w:ascii="David" w:hAnsi="David" w:cs="David"/>
          <w:sz w:val="24"/>
          <w:szCs w:val="24"/>
          <w:rtl/>
        </w:rPr>
        <w:t>.</w:t>
      </w:r>
    </w:p>
    <w:p w:rsidR="00FF3ADA" w:rsidRPr="000B7DE7" w:rsidRDefault="00B915DB" w:rsidP="003E5F18">
      <w:pPr>
        <w:spacing w:line="360" w:lineRule="auto"/>
        <w:jc w:val="both"/>
        <w:rPr>
          <w:rFonts w:ascii="David" w:hAnsi="David" w:cs="David"/>
          <w:sz w:val="24"/>
          <w:szCs w:val="24"/>
          <w:rtl/>
        </w:rPr>
      </w:pPr>
      <w:r>
        <w:rPr>
          <w:rFonts w:ascii="David" w:hAnsi="David" w:cs="David" w:hint="cs"/>
          <w:sz w:val="24"/>
          <w:szCs w:val="24"/>
          <w:rtl/>
        </w:rPr>
        <w:t>כאמור לעיל נתנו משקל רב</w:t>
      </w:r>
      <w:r w:rsidRPr="000B7DE7">
        <w:rPr>
          <w:rFonts w:ascii="David" w:hAnsi="David" w:cs="David" w:hint="cs"/>
          <w:sz w:val="24"/>
          <w:szCs w:val="24"/>
          <w:rtl/>
        </w:rPr>
        <w:t xml:space="preserve"> למצבו הנפשי בעצם הרשעתו בעבירה של המתה באחריות מופחתת תחת עבירה של רצח בנסיבות מחמירות, כאשר הספק בעניין זה פעל לטובת הנאש</w:t>
      </w:r>
      <w:r>
        <w:rPr>
          <w:rFonts w:ascii="David" w:hAnsi="David" w:cs="David" w:hint="cs"/>
          <w:sz w:val="24"/>
          <w:szCs w:val="24"/>
          <w:rtl/>
        </w:rPr>
        <w:t xml:space="preserve">ם, ולכן סברנו כי בגזר </w:t>
      </w:r>
      <w:r w:rsidRPr="000B7DE7">
        <w:rPr>
          <w:rFonts w:ascii="David" w:hAnsi="David" w:cs="David" w:hint="cs"/>
          <w:sz w:val="24"/>
          <w:szCs w:val="24"/>
          <w:rtl/>
        </w:rPr>
        <w:t xml:space="preserve">הדין יש ליתן לעניין זה </w:t>
      </w:r>
      <w:r w:rsidRPr="000B7DE7">
        <w:rPr>
          <w:rFonts w:ascii="David" w:hAnsi="David" w:cs="David" w:hint="eastAsia"/>
          <w:sz w:val="24"/>
          <w:szCs w:val="24"/>
          <w:rtl/>
        </w:rPr>
        <w:t>משקל</w:t>
      </w:r>
      <w:r w:rsidRPr="000B7DE7">
        <w:rPr>
          <w:rFonts w:ascii="David" w:hAnsi="David" w:cs="David"/>
          <w:sz w:val="24"/>
          <w:szCs w:val="24"/>
          <w:rtl/>
        </w:rPr>
        <w:t xml:space="preserve"> מועט </w:t>
      </w:r>
      <w:r w:rsidRPr="000B7DE7">
        <w:rPr>
          <w:rFonts w:ascii="David" w:hAnsi="David" w:cs="David" w:hint="eastAsia"/>
          <w:sz w:val="24"/>
          <w:szCs w:val="24"/>
          <w:rtl/>
        </w:rPr>
        <w:t>מאוד</w:t>
      </w:r>
      <w:r w:rsidRPr="000B7DE7">
        <w:rPr>
          <w:rFonts w:ascii="David" w:hAnsi="David" w:cs="David" w:hint="cs"/>
          <w:sz w:val="24"/>
          <w:szCs w:val="24"/>
          <w:rtl/>
        </w:rPr>
        <w:t xml:space="preserve">, אם בכלל, </w:t>
      </w:r>
      <w:r w:rsidR="003E5F18">
        <w:rPr>
          <w:rFonts w:ascii="David" w:hAnsi="David" w:cs="David" w:hint="cs"/>
          <w:sz w:val="24"/>
          <w:szCs w:val="24"/>
          <w:rtl/>
        </w:rPr>
        <w:t xml:space="preserve">בהינתן קביעתנו כי נסיבותיו של הנאשם נושקות לאחריות </w:t>
      </w:r>
      <w:r w:rsidRPr="000B7DE7">
        <w:rPr>
          <w:rFonts w:ascii="David" w:hAnsi="David" w:cs="David" w:hint="eastAsia"/>
          <w:sz w:val="24"/>
          <w:szCs w:val="24"/>
          <w:rtl/>
        </w:rPr>
        <w:t>פלילית</w:t>
      </w:r>
      <w:r w:rsidRPr="000B7DE7">
        <w:rPr>
          <w:rFonts w:ascii="David" w:hAnsi="David" w:cs="David"/>
          <w:sz w:val="24"/>
          <w:szCs w:val="24"/>
          <w:rtl/>
        </w:rPr>
        <w:t xml:space="preserve"> </w:t>
      </w:r>
      <w:r w:rsidRPr="000B7DE7">
        <w:rPr>
          <w:rFonts w:ascii="David" w:hAnsi="David" w:cs="David" w:hint="eastAsia"/>
          <w:sz w:val="24"/>
          <w:szCs w:val="24"/>
          <w:rtl/>
        </w:rPr>
        <w:t>מלאה</w:t>
      </w:r>
      <w:r w:rsidRPr="000B7DE7">
        <w:rPr>
          <w:rFonts w:ascii="David" w:hAnsi="David" w:cs="David"/>
          <w:sz w:val="24"/>
          <w:szCs w:val="24"/>
          <w:rtl/>
        </w:rPr>
        <w:t xml:space="preserve">. </w:t>
      </w:r>
    </w:p>
    <w:p w:rsidR="008D3FA2" w:rsidRPr="00F463BC" w:rsidRDefault="00B915DB" w:rsidP="00DA35D2">
      <w:pPr>
        <w:widowControl w:val="0"/>
        <w:spacing w:before="120" w:after="120" w:line="360" w:lineRule="auto"/>
        <w:jc w:val="both"/>
        <w:rPr>
          <w:rFonts w:ascii="Calibri" w:eastAsia="Calibri" w:hAnsi="Calibri" w:cs="David"/>
          <w:sz w:val="24"/>
          <w:szCs w:val="24"/>
          <w:rtl/>
        </w:rPr>
      </w:pPr>
      <w:r w:rsidRPr="00DA35D2">
        <w:rPr>
          <w:rFonts w:ascii="David" w:hAnsi="David" w:cs="David" w:hint="cs"/>
          <w:sz w:val="24"/>
          <w:szCs w:val="24"/>
          <w:rtl/>
        </w:rPr>
        <w:t>באשר לאישום השני הנוגע לנסיון הרצח של גרושתו,</w:t>
      </w:r>
      <w:r w:rsidR="000B7DE7">
        <w:rPr>
          <w:rFonts w:ascii="David" w:hAnsi="David" w:cs="David"/>
          <w:sz w:val="24"/>
          <w:szCs w:val="24"/>
          <w:rtl/>
        </w:rPr>
        <w:t xml:space="preserve"> </w:t>
      </w:r>
      <w:r>
        <w:rPr>
          <w:rFonts w:ascii="David" w:hAnsi="David" w:cs="David" w:hint="cs"/>
          <w:sz w:val="24"/>
          <w:szCs w:val="24"/>
          <w:rtl/>
        </w:rPr>
        <w:t xml:space="preserve">ציין בית המשפט שבנוסף </w:t>
      </w:r>
      <w:r>
        <w:rPr>
          <w:rFonts w:ascii="David" w:eastAsia="Calibri" w:hAnsi="David" w:cs="David" w:hint="cs"/>
          <w:sz w:val="24"/>
          <w:szCs w:val="24"/>
          <w:rtl/>
        </w:rPr>
        <w:t>לפגיעה ב</w:t>
      </w:r>
      <w:r w:rsidR="00194E20" w:rsidRPr="00F463BC">
        <w:rPr>
          <w:rFonts w:ascii="David" w:eastAsia="Calibri" w:hAnsi="David" w:cs="David" w:hint="eastAsia"/>
          <w:sz w:val="24"/>
          <w:szCs w:val="24"/>
          <w:rtl/>
        </w:rPr>
        <w:t>ערך</w:t>
      </w:r>
      <w:r w:rsidR="00194E20" w:rsidRPr="00F463BC">
        <w:rPr>
          <w:rFonts w:ascii="David" w:eastAsia="Calibri" w:hAnsi="David" w:cs="David"/>
          <w:sz w:val="24"/>
          <w:szCs w:val="24"/>
          <w:rtl/>
        </w:rPr>
        <w:t xml:space="preserve"> </w:t>
      </w:r>
      <w:r w:rsidR="00194E20" w:rsidRPr="00F463BC">
        <w:rPr>
          <w:rFonts w:ascii="David" w:eastAsia="Calibri" w:hAnsi="David" w:cs="David" w:hint="eastAsia"/>
          <w:sz w:val="24"/>
          <w:szCs w:val="24"/>
          <w:rtl/>
        </w:rPr>
        <w:t>הבסיסי</w:t>
      </w:r>
      <w:r w:rsidR="00194E20" w:rsidRPr="00F463BC">
        <w:rPr>
          <w:rFonts w:ascii="David" w:eastAsia="Calibri" w:hAnsi="David" w:cs="David"/>
          <w:sz w:val="24"/>
          <w:szCs w:val="24"/>
          <w:rtl/>
        </w:rPr>
        <w:t xml:space="preserve"> </w:t>
      </w:r>
      <w:r w:rsidR="00194E20" w:rsidRPr="00F463BC">
        <w:rPr>
          <w:rFonts w:ascii="David" w:eastAsia="Calibri" w:hAnsi="David" w:cs="David" w:hint="eastAsia"/>
          <w:sz w:val="24"/>
          <w:szCs w:val="24"/>
          <w:rtl/>
        </w:rPr>
        <w:t>של</w:t>
      </w:r>
      <w:r w:rsidR="00194E20" w:rsidRPr="00F463BC">
        <w:rPr>
          <w:rFonts w:ascii="David" w:eastAsia="Calibri" w:hAnsi="David" w:cs="David"/>
          <w:sz w:val="24"/>
          <w:szCs w:val="24"/>
          <w:rtl/>
        </w:rPr>
        <w:t xml:space="preserve"> </w:t>
      </w:r>
      <w:r w:rsidR="00194E20" w:rsidRPr="00F463BC">
        <w:rPr>
          <w:rFonts w:ascii="David" w:eastAsia="Calibri" w:hAnsi="David" w:cs="David" w:hint="eastAsia"/>
          <w:sz w:val="24"/>
          <w:szCs w:val="24"/>
          <w:rtl/>
        </w:rPr>
        <w:t>קדושת</w:t>
      </w:r>
      <w:r w:rsidR="00194E20" w:rsidRPr="00F463BC">
        <w:rPr>
          <w:rFonts w:ascii="David" w:eastAsia="Calibri" w:hAnsi="David" w:cs="David"/>
          <w:sz w:val="24"/>
          <w:szCs w:val="24"/>
          <w:rtl/>
        </w:rPr>
        <w:t xml:space="preserve"> </w:t>
      </w:r>
      <w:r w:rsidR="00194E20" w:rsidRPr="00F463BC">
        <w:rPr>
          <w:rFonts w:ascii="David" w:eastAsia="Calibri" w:hAnsi="David" w:cs="David" w:hint="eastAsia"/>
          <w:sz w:val="24"/>
          <w:szCs w:val="24"/>
          <w:rtl/>
        </w:rPr>
        <w:t>החיים</w:t>
      </w:r>
      <w:r>
        <w:rPr>
          <w:rFonts w:ascii="David" w:eastAsia="Calibri" w:hAnsi="David" w:cs="David" w:hint="cs"/>
          <w:sz w:val="24"/>
          <w:szCs w:val="24"/>
          <w:rtl/>
        </w:rPr>
        <w:t xml:space="preserve">, </w:t>
      </w:r>
      <w:r w:rsidR="000B7DE7">
        <w:rPr>
          <w:rFonts w:ascii="David" w:eastAsia="Calibri" w:hAnsi="David" w:cs="David" w:hint="cs"/>
          <w:sz w:val="24"/>
          <w:szCs w:val="24"/>
          <w:rtl/>
        </w:rPr>
        <w:t xml:space="preserve">הנאשם אף פגע </w:t>
      </w:r>
      <w:r w:rsidR="000B7DE7" w:rsidRPr="00905DE2">
        <w:rPr>
          <w:rFonts w:ascii="David" w:eastAsia="Calibri" w:hAnsi="David" w:cs="David" w:hint="eastAsia"/>
          <w:sz w:val="24"/>
          <w:szCs w:val="24"/>
          <w:rtl/>
        </w:rPr>
        <w:t>בזכות</w:t>
      </w:r>
      <w:r>
        <w:rPr>
          <w:rFonts w:ascii="David" w:eastAsia="Calibri" w:hAnsi="David" w:cs="David" w:hint="cs"/>
          <w:sz w:val="24"/>
          <w:szCs w:val="24"/>
          <w:rtl/>
        </w:rPr>
        <w:t xml:space="preserve">ה של המתלוננת </w:t>
      </w:r>
      <w:r w:rsidR="000B7DE7" w:rsidRPr="00905DE2">
        <w:rPr>
          <w:rFonts w:ascii="David" w:eastAsia="Calibri" w:hAnsi="David" w:cs="David" w:hint="eastAsia"/>
          <w:sz w:val="24"/>
          <w:szCs w:val="24"/>
          <w:rtl/>
        </w:rPr>
        <w:t>ובנותיהם</w:t>
      </w:r>
      <w:r w:rsidR="000B7DE7" w:rsidRPr="00905DE2">
        <w:rPr>
          <w:rFonts w:ascii="David" w:eastAsia="Calibri" w:hAnsi="David" w:cs="David"/>
          <w:sz w:val="24"/>
          <w:szCs w:val="24"/>
          <w:rtl/>
        </w:rPr>
        <w:t xml:space="preserve"> </w:t>
      </w:r>
      <w:r w:rsidR="000B7DE7" w:rsidRPr="00905DE2">
        <w:rPr>
          <w:rFonts w:ascii="David" w:eastAsia="Calibri" w:hAnsi="David" w:cs="David" w:hint="eastAsia"/>
          <w:sz w:val="24"/>
          <w:szCs w:val="24"/>
          <w:rtl/>
        </w:rPr>
        <w:t>לביטחון</w:t>
      </w:r>
      <w:r w:rsidR="000B7DE7">
        <w:rPr>
          <w:rFonts w:ascii="David" w:eastAsia="Calibri" w:hAnsi="David" w:cs="David" w:hint="cs"/>
          <w:sz w:val="24"/>
          <w:szCs w:val="24"/>
          <w:rtl/>
        </w:rPr>
        <w:t>,</w:t>
      </w:r>
      <w:r w:rsidR="000B7DE7" w:rsidRPr="00905DE2">
        <w:rPr>
          <w:rFonts w:ascii="David" w:eastAsia="Calibri" w:hAnsi="David" w:cs="David"/>
          <w:sz w:val="24"/>
          <w:szCs w:val="24"/>
          <w:rtl/>
        </w:rPr>
        <w:t xml:space="preserve"> </w:t>
      </w:r>
      <w:r w:rsidR="000B7DE7">
        <w:rPr>
          <w:rFonts w:ascii="David" w:eastAsia="Calibri" w:hAnsi="David" w:cs="David" w:hint="cs"/>
          <w:sz w:val="24"/>
          <w:szCs w:val="24"/>
          <w:rtl/>
        </w:rPr>
        <w:t xml:space="preserve">בכך שהעבירה בוצעה בביתן שאמור להיות המקום הבטוח והמוגן עבורן, ותחת זאת הפך לפתע לזירה אלימה ומסויטת. </w:t>
      </w:r>
      <w:r>
        <w:rPr>
          <w:rFonts w:ascii="David" w:hAnsi="David" w:cs="David" w:hint="cs"/>
          <w:sz w:val="24"/>
          <w:szCs w:val="24"/>
          <w:rtl/>
        </w:rPr>
        <w:t>גם במקרה זה, הגיע הנאשם כשהוא מצויד בכלי משחית, ונקט ב</w:t>
      </w:r>
      <w:r>
        <w:rPr>
          <w:rFonts w:ascii="Calibri" w:eastAsia="Calibri" w:hAnsi="Calibri" w:cs="David" w:hint="cs"/>
          <w:sz w:val="24"/>
          <w:szCs w:val="24"/>
          <w:rtl/>
        </w:rPr>
        <w:t>א</w:t>
      </w:r>
      <w:r w:rsidR="004D6A2D" w:rsidRPr="00F463BC">
        <w:rPr>
          <w:rFonts w:ascii="Calibri" w:eastAsia="Calibri" w:hAnsi="Calibri" w:cs="David"/>
          <w:sz w:val="24"/>
          <w:szCs w:val="24"/>
          <w:rtl/>
        </w:rPr>
        <w:t>כזריות ו</w:t>
      </w:r>
      <w:r>
        <w:rPr>
          <w:rFonts w:ascii="Calibri" w:eastAsia="Calibri" w:hAnsi="Calibri" w:cs="David" w:hint="cs"/>
          <w:sz w:val="24"/>
          <w:szCs w:val="24"/>
          <w:rtl/>
        </w:rPr>
        <w:t>ב</w:t>
      </w:r>
      <w:r w:rsidR="004D6A2D" w:rsidRPr="00F463BC">
        <w:rPr>
          <w:rFonts w:ascii="Calibri" w:eastAsia="Calibri" w:hAnsi="Calibri" w:cs="David"/>
          <w:sz w:val="24"/>
          <w:szCs w:val="24"/>
          <w:rtl/>
        </w:rPr>
        <w:t xml:space="preserve">אלימות </w:t>
      </w:r>
      <w:r>
        <w:rPr>
          <w:rFonts w:ascii="Calibri" w:eastAsia="Calibri" w:hAnsi="Calibri" w:cs="David" w:hint="cs"/>
          <w:sz w:val="24"/>
          <w:szCs w:val="24"/>
          <w:rtl/>
        </w:rPr>
        <w:t>רבה עת ניסה ב</w:t>
      </w:r>
      <w:r w:rsidR="004D6A2D" w:rsidRPr="00F463BC">
        <w:rPr>
          <w:rFonts w:ascii="Calibri" w:eastAsia="Calibri" w:hAnsi="Calibri" w:cs="David"/>
          <w:sz w:val="24"/>
          <w:szCs w:val="24"/>
          <w:rtl/>
        </w:rPr>
        <w:t xml:space="preserve">דרכים שונות לגרום למותה </w:t>
      </w:r>
      <w:r w:rsidR="004D6A2D">
        <w:rPr>
          <w:rFonts w:ascii="Calibri" w:eastAsia="Calibri" w:hAnsi="Calibri" w:cs="David" w:hint="cs"/>
          <w:sz w:val="24"/>
          <w:szCs w:val="24"/>
          <w:rtl/>
        </w:rPr>
        <w:t xml:space="preserve">של </w:t>
      </w:r>
      <w:r>
        <w:rPr>
          <w:rFonts w:ascii="Calibri" w:eastAsia="Calibri" w:hAnsi="Calibri" w:cs="David" w:hint="cs"/>
          <w:sz w:val="24"/>
          <w:szCs w:val="24"/>
          <w:rtl/>
        </w:rPr>
        <w:t>המתלוננת, כל זאת לעיני בנותיו, תחילה באמצעות אקדח ש</w:t>
      </w:r>
      <w:r w:rsidR="004D6A2D">
        <w:rPr>
          <w:rFonts w:ascii="Calibri" w:eastAsia="Calibri" w:hAnsi="Calibri" w:cs="David" w:hint="cs"/>
          <w:sz w:val="24"/>
          <w:szCs w:val="24"/>
          <w:rtl/>
        </w:rPr>
        <w:t>הצמיד</w:t>
      </w:r>
      <w:r w:rsidR="004D6A2D" w:rsidRPr="00F463BC">
        <w:rPr>
          <w:rFonts w:ascii="Calibri" w:eastAsia="Calibri" w:hAnsi="Calibri" w:cs="David"/>
          <w:sz w:val="24"/>
          <w:szCs w:val="24"/>
          <w:rtl/>
        </w:rPr>
        <w:t xml:space="preserve"> </w:t>
      </w:r>
      <w:r w:rsidR="004D6A2D">
        <w:rPr>
          <w:rFonts w:ascii="Calibri" w:eastAsia="Calibri" w:hAnsi="Calibri" w:cs="David" w:hint="cs"/>
          <w:sz w:val="24"/>
          <w:szCs w:val="24"/>
          <w:rtl/>
        </w:rPr>
        <w:t>לראשה,</w:t>
      </w:r>
      <w:r w:rsidR="004D6A2D" w:rsidRPr="00F463BC">
        <w:rPr>
          <w:rFonts w:ascii="Calibri" w:eastAsia="Calibri" w:hAnsi="Calibri" w:cs="David"/>
          <w:sz w:val="24"/>
          <w:szCs w:val="24"/>
          <w:rtl/>
        </w:rPr>
        <w:t xml:space="preserve"> ולאחר שכשל </w:t>
      </w:r>
      <w:r w:rsidR="004D6A2D">
        <w:rPr>
          <w:rFonts w:ascii="Calibri" w:eastAsia="Calibri" w:hAnsi="Calibri" w:cs="David" w:hint="cs"/>
          <w:sz w:val="24"/>
          <w:szCs w:val="24"/>
          <w:rtl/>
        </w:rPr>
        <w:t>בניסיונו</w:t>
      </w:r>
      <w:r>
        <w:rPr>
          <w:rFonts w:ascii="Calibri" w:eastAsia="Calibri" w:hAnsi="Calibri" w:cs="David" w:hint="cs"/>
          <w:sz w:val="24"/>
          <w:szCs w:val="24"/>
          <w:rtl/>
        </w:rPr>
        <w:t>, שפך ע</w:t>
      </w:r>
      <w:r w:rsidR="004D6A2D" w:rsidRPr="00F463BC">
        <w:rPr>
          <w:rFonts w:ascii="Calibri" w:eastAsia="Calibri" w:hAnsi="Calibri" w:cs="David"/>
          <w:sz w:val="24"/>
          <w:szCs w:val="24"/>
          <w:rtl/>
        </w:rPr>
        <w:t>ל</w:t>
      </w:r>
      <w:r w:rsidR="004D6A2D">
        <w:rPr>
          <w:rFonts w:ascii="Calibri" w:eastAsia="Calibri" w:hAnsi="Calibri" w:cs="David" w:hint="cs"/>
          <w:sz w:val="24"/>
          <w:szCs w:val="24"/>
          <w:rtl/>
        </w:rPr>
        <w:t xml:space="preserve"> גופה</w:t>
      </w:r>
      <w:r w:rsidR="004D6A2D" w:rsidRPr="00F463BC">
        <w:rPr>
          <w:rFonts w:ascii="Calibri" w:eastAsia="Calibri" w:hAnsi="Calibri" w:cs="David"/>
          <w:sz w:val="24"/>
          <w:szCs w:val="24"/>
          <w:rtl/>
        </w:rPr>
        <w:t xml:space="preserve"> חומר דליק</w:t>
      </w:r>
      <w:r w:rsidR="004D6A2D">
        <w:rPr>
          <w:rFonts w:ascii="Calibri" w:eastAsia="Calibri" w:hAnsi="Calibri" w:cs="David" w:hint="cs"/>
          <w:sz w:val="24"/>
          <w:szCs w:val="24"/>
          <w:rtl/>
        </w:rPr>
        <w:t xml:space="preserve">, אך זממו לא הושלם, שכן היא הצליחה לברוח מהזירה. </w:t>
      </w:r>
      <w:r>
        <w:rPr>
          <w:rFonts w:ascii="Calibri" w:eastAsia="Calibri" w:hAnsi="Calibri" w:cs="David" w:hint="cs"/>
          <w:sz w:val="24"/>
          <w:szCs w:val="24"/>
          <w:rtl/>
        </w:rPr>
        <w:t>בהמשך כאשר הוא נותר לבדו עם הבנות, בנותיו שלו, הנאשם הוסיף ושפך חומר דליק ברחבי הבית ו</w:t>
      </w:r>
      <w:r w:rsidRPr="00F463BC">
        <w:rPr>
          <w:rFonts w:ascii="Calibri" w:eastAsia="Calibri" w:hAnsi="Calibri" w:cs="David"/>
          <w:sz w:val="24"/>
          <w:szCs w:val="24"/>
          <w:rtl/>
        </w:rPr>
        <w:t>הצית את ביתה</w:t>
      </w:r>
      <w:r>
        <w:rPr>
          <w:rFonts w:ascii="Calibri" w:eastAsia="Calibri" w:hAnsi="Calibri" w:cs="David" w:hint="cs"/>
          <w:sz w:val="24"/>
          <w:szCs w:val="24"/>
          <w:rtl/>
        </w:rPr>
        <w:t xml:space="preserve"> של המתלוננת,</w:t>
      </w:r>
      <w:r w:rsidRPr="00F463BC">
        <w:rPr>
          <w:rFonts w:ascii="Calibri" w:eastAsia="Calibri" w:hAnsi="Calibri" w:cs="David"/>
          <w:sz w:val="24"/>
          <w:szCs w:val="24"/>
          <w:rtl/>
        </w:rPr>
        <w:t xml:space="preserve"> </w:t>
      </w:r>
      <w:r>
        <w:rPr>
          <w:rFonts w:ascii="Calibri" w:eastAsia="Calibri" w:hAnsi="Calibri" w:cs="David" w:hint="cs"/>
          <w:sz w:val="24"/>
          <w:szCs w:val="24"/>
          <w:rtl/>
        </w:rPr>
        <w:t>וברח מהמקום כשהוא מותיר מאחוריו את בנותיו בתוך ה</w:t>
      </w:r>
      <w:r w:rsidRPr="00F463BC">
        <w:rPr>
          <w:rFonts w:ascii="Calibri" w:eastAsia="Calibri" w:hAnsi="Calibri" w:cs="David"/>
          <w:sz w:val="24"/>
          <w:szCs w:val="24"/>
          <w:rtl/>
        </w:rPr>
        <w:t xml:space="preserve">בית. </w:t>
      </w:r>
    </w:p>
    <w:p w:rsidR="00B665AF" w:rsidRDefault="00B915DB" w:rsidP="00DA35D2">
      <w:pPr>
        <w:widowControl w:val="0"/>
        <w:spacing w:before="120" w:after="120" w:line="360" w:lineRule="auto"/>
        <w:jc w:val="both"/>
        <w:rPr>
          <w:rFonts w:ascii="David" w:hAnsi="David" w:cs="David"/>
          <w:b/>
          <w:bCs/>
          <w:sz w:val="24"/>
          <w:szCs w:val="24"/>
          <w:rtl/>
        </w:rPr>
      </w:pPr>
      <w:r w:rsidRPr="00DA35D2">
        <w:rPr>
          <w:rFonts w:ascii="David" w:hAnsi="David" w:cs="David" w:hint="cs"/>
          <w:sz w:val="24"/>
          <w:szCs w:val="24"/>
          <w:rtl/>
        </w:rPr>
        <w:t>לגבי האישום השלישי</w:t>
      </w:r>
      <w:r>
        <w:rPr>
          <w:rFonts w:ascii="David" w:hAnsi="David" w:cs="David" w:hint="cs"/>
          <w:sz w:val="24"/>
          <w:szCs w:val="24"/>
          <w:rtl/>
        </w:rPr>
        <w:t>, מדובר במקרה ש</w:t>
      </w:r>
      <w:r w:rsidRPr="00707D3A">
        <w:rPr>
          <w:rFonts w:ascii="David" w:hAnsi="David" w:cs="David" w:hint="eastAsia"/>
          <w:sz w:val="24"/>
          <w:szCs w:val="24"/>
          <w:rtl/>
        </w:rPr>
        <w:t>נסיבות</w:t>
      </w:r>
      <w:r>
        <w:rPr>
          <w:rFonts w:ascii="David" w:hAnsi="David" w:cs="David" w:hint="cs"/>
          <w:sz w:val="24"/>
          <w:szCs w:val="24"/>
          <w:rtl/>
        </w:rPr>
        <w:t>יו</w:t>
      </w:r>
      <w:r w:rsidRPr="00707D3A">
        <w:rPr>
          <w:rFonts w:ascii="David" w:hAnsi="David" w:cs="David"/>
          <w:sz w:val="24"/>
          <w:szCs w:val="24"/>
          <w:rtl/>
        </w:rPr>
        <w:t xml:space="preserve"> ייחודיות, שכן </w:t>
      </w:r>
      <w:r>
        <w:rPr>
          <w:rFonts w:ascii="David" w:hAnsi="David" w:cs="David" w:hint="cs"/>
          <w:sz w:val="24"/>
          <w:szCs w:val="24"/>
          <w:rtl/>
        </w:rPr>
        <w:t>מעשה ההצתה בוצע ראש וראשית כאקט של פגיעה עצמית של הנאשם, ופרט</w:t>
      </w:r>
      <w:r w:rsidRPr="00707D3A">
        <w:rPr>
          <w:rFonts w:ascii="David" w:hAnsi="David" w:cs="David"/>
          <w:sz w:val="24"/>
          <w:szCs w:val="24"/>
          <w:rtl/>
        </w:rPr>
        <w:t xml:space="preserve"> </w:t>
      </w:r>
      <w:r>
        <w:rPr>
          <w:rFonts w:ascii="David" w:hAnsi="David" w:cs="David" w:hint="cs"/>
          <w:sz w:val="24"/>
          <w:szCs w:val="24"/>
          <w:rtl/>
        </w:rPr>
        <w:t>ל</w:t>
      </w:r>
      <w:r w:rsidRPr="00707D3A">
        <w:rPr>
          <w:rFonts w:ascii="David" w:hAnsi="David" w:cs="David"/>
          <w:sz w:val="24"/>
          <w:szCs w:val="24"/>
          <w:rtl/>
        </w:rPr>
        <w:t>נזק שנגרם לחניון בית המשפט העליון</w:t>
      </w:r>
      <w:r>
        <w:rPr>
          <w:rFonts w:ascii="David" w:hAnsi="David" w:cs="David" w:hint="cs"/>
          <w:sz w:val="24"/>
          <w:szCs w:val="24"/>
          <w:rtl/>
        </w:rPr>
        <w:t>,</w:t>
      </w:r>
      <w:r w:rsidRPr="00707D3A">
        <w:rPr>
          <w:rFonts w:ascii="David" w:hAnsi="David" w:cs="David"/>
          <w:sz w:val="24"/>
          <w:szCs w:val="24"/>
          <w:rtl/>
        </w:rPr>
        <w:t xml:space="preserve"> הנאשם עצמו ספג פגיעה פיזית קשה. </w:t>
      </w:r>
    </w:p>
    <w:p w:rsidR="00DA35D2" w:rsidRDefault="00B915DB" w:rsidP="00DA35D2">
      <w:pPr>
        <w:spacing w:before="240" w:line="360" w:lineRule="auto"/>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t>בית המשפט התחשב לחומרה ב</w:t>
      </w:r>
      <w:r w:rsidRPr="00707D3A">
        <w:rPr>
          <w:rFonts w:ascii="Times New Roman" w:eastAsia="Times New Roman" w:hAnsi="Times New Roman" w:cs="David"/>
          <w:sz w:val="24"/>
          <w:szCs w:val="24"/>
          <w:rtl/>
        </w:rPr>
        <w:t>עברו הפלילי של הנאשם אשר נוגע לחטיפת בנותיו אל מחוץ לגבולות מדינת ישראל</w:t>
      </w:r>
      <w:r>
        <w:rPr>
          <w:rFonts w:ascii="Times New Roman" w:eastAsia="Times New Roman" w:hAnsi="Times New Roman" w:cs="David" w:hint="cs"/>
          <w:sz w:val="24"/>
          <w:szCs w:val="24"/>
          <w:rtl/>
        </w:rPr>
        <w:t xml:space="preserve"> בשנת 2014. </w:t>
      </w:r>
    </w:p>
    <w:p w:rsidR="00DA35D2" w:rsidRPr="00707D3A" w:rsidRDefault="00B915DB" w:rsidP="00DA35D2">
      <w:pPr>
        <w:spacing w:before="240" w:line="360" w:lineRule="auto"/>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lastRenderedPageBreak/>
        <w:t xml:space="preserve">הנאשם לא הודה במעשיו ובחר לנהל הליך משפטי ממושך. אמנם בהתאם לחוק כפירה באשמה וניהול המשפט לא ייזקפו לחובתו, אולם </w:t>
      </w:r>
      <w:r w:rsidRPr="00044557">
        <w:rPr>
          <w:rFonts w:ascii="Tahoma" w:eastAsia="Times New Roman" w:hAnsi="Tahoma" w:cs="David" w:hint="cs"/>
          <w:sz w:val="24"/>
          <w:szCs w:val="24"/>
          <w:rtl/>
        </w:rPr>
        <w:t xml:space="preserve">הנאשם </w:t>
      </w:r>
      <w:r>
        <w:rPr>
          <w:rFonts w:ascii="Tahoma" w:eastAsia="Times New Roman" w:hAnsi="Tahoma" w:cs="David" w:hint="cs"/>
          <w:sz w:val="24"/>
          <w:szCs w:val="24"/>
          <w:rtl/>
        </w:rPr>
        <w:t xml:space="preserve">אף </w:t>
      </w:r>
      <w:r w:rsidRPr="00044557">
        <w:rPr>
          <w:rFonts w:ascii="Tahoma" w:eastAsia="Times New Roman" w:hAnsi="Tahoma" w:cs="David" w:hint="cs"/>
          <w:sz w:val="24"/>
          <w:szCs w:val="24"/>
          <w:rtl/>
        </w:rPr>
        <w:t xml:space="preserve">איננו זכאי להתחשבות </w:t>
      </w:r>
      <w:r>
        <w:rPr>
          <w:rFonts w:ascii="Tahoma" w:eastAsia="Times New Roman" w:hAnsi="Tahoma" w:cs="David" w:hint="cs"/>
          <w:sz w:val="24"/>
          <w:szCs w:val="24"/>
          <w:rtl/>
        </w:rPr>
        <w:t>הנזקפת לזכות מי שהודה, הביע חרטה ונטל אחריות על מעשיו.</w:t>
      </w:r>
      <w:r>
        <w:rPr>
          <w:rFonts w:ascii="Times New Roman" w:eastAsia="Times New Roman" w:hAnsi="Times New Roman" w:cs="David" w:hint="cs"/>
          <w:sz w:val="24"/>
          <w:szCs w:val="24"/>
          <w:rtl/>
        </w:rPr>
        <w:t xml:space="preserve"> כפירתו של הנאשם והתנהלותו שהביאה להתמשכות חריגה של ההליך הוסיפו לסבלה הרב של משפחת המנוח, וגם בהיבט זה יש משקל לחובת הנאשם.</w:t>
      </w:r>
    </w:p>
    <w:p w:rsidR="000B7DE7" w:rsidRDefault="00B915DB" w:rsidP="00DA35D2">
      <w:pPr>
        <w:widowControl w:val="0"/>
        <w:spacing w:before="240" w:after="0" w:line="360" w:lineRule="auto"/>
        <w:jc w:val="both"/>
        <w:rPr>
          <w:rFonts w:ascii="David" w:hAnsi="David" w:cs="David"/>
          <w:sz w:val="24"/>
          <w:szCs w:val="24"/>
          <w:rtl/>
        </w:rPr>
      </w:pPr>
      <w:r w:rsidRPr="00DA35D2">
        <w:rPr>
          <w:rFonts w:ascii="Times New Roman" w:eastAsia="Times New Roman" w:hAnsi="Times New Roman" w:cs="David" w:hint="cs"/>
          <w:sz w:val="24"/>
          <w:szCs w:val="24"/>
          <w:rtl/>
        </w:rPr>
        <w:t xml:space="preserve">במכלול הנסיבות, החליט בית המשפט </w:t>
      </w:r>
      <w:r w:rsidRPr="00DA35D2">
        <w:rPr>
          <w:rFonts w:ascii="David" w:eastAsia="Calibri" w:hAnsi="David" w:cs="David"/>
          <w:sz w:val="24"/>
          <w:szCs w:val="24"/>
          <w:rtl/>
        </w:rPr>
        <w:t>ל</w:t>
      </w:r>
      <w:r w:rsidRPr="00DA35D2">
        <w:rPr>
          <w:rFonts w:ascii="David" w:eastAsia="Calibri" w:hAnsi="David" w:cs="David" w:hint="cs"/>
          <w:sz w:val="24"/>
          <w:szCs w:val="24"/>
          <w:rtl/>
        </w:rPr>
        <w:t xml:space="preserve">גזור </w:t>
      </w:r>
      <w:r w:rsidRPr="00DA35D2">
        <w:rPr>
          <w:rFonts w:ascii="David" w:eastAsia="Calibri" w:hAnsi="David" w:cs="David"/>
          <w:sz w:val="24"/>
          <w:szCs w:val="24"/>
          <w:rtl/>
        </w:rPr>
        <w:t>את עונשו של הנאשם</w:t>
      </w:r>
      <w:r w:rsidRPr="00DA35D2">
        <w:rPr>
          <w:rFonts w:ascii="David" w:hAnsi="David" w:cs="David"/>
          <w:b/>
          <w:bCs/>
          <w:sz w:val="26"/>
          <w:szCs w:val="26"/>
          <w:rtl/>
        </w:rPr>
        <w:t xml:space="preserve"> </w:t>
      </w:r>
      <w:r w:rsidRPr="00DA35D2">
        <w:rPr>
          <w:rFonts w:ascii="David" w:hAnsi="David" w:cs="David"/>
          <w:sz w:val="24"/>
          <w:szCs w:val="24"/>
          <w:rtl/>
        </w:rPr>
        <w:t>ברף הגבוה של מתח</w:t>
      </w:r>
      <w:r w:rsidRPr="00DA35D2">
        <w:rPr>
          <w:rFonts w:ascii="David" w:hAnsi="David" w:cs="David" w:hint="cs"/>
          <w:sz w:val="24"/>
          <w:szCs w:val="24"/>
          <w:rtl/>
        </w:rPr>
        <w:t xml:space="preserve">מי הענישה שנקבעו, זאת בין היתר לאור </w:t>
      </w:r>
      <w:r w:rsidRPr="00DA35D2">
        <w:rPr>
          <w:rFonts w:ascii="Times New Roman" w:eastAsia="Times New Roman" w:hAnsi="Times New Roman" w:cs="David" w:hint="cs"/>
          <w:sz w:val="24"/>
          <w:szCs w:val="24"/>
          <w:rtl/>
        </w:rPr>
        <w:t>השיקול של הגנה על שלום הציבור נוכח מס</w:t>
      </w:r>
      <w:r w:rsidR="0010012E" w:rsidRPr="00DA35D2">
        <w:rPr>
          <w:rFonts w:ascii="Times New Roman" w:eastAsia="Times New Roman" w:hAnsi="Times New Roman" w:cs="David"/>
          <w:sz w:val="24"/>
          <w:szCs w:val="24"/>
          <w:rtl/>
        </w:rPr>
        <w:t>וכנותו הרבה של הנאשם</w:t>
      </w:r>
      <w:r w:rsidR="0010012E" w:rsidRPr="00DA35D2">
        <w:rPr>
          <w:rFonts w:ascii="Times New Roman" w:eastAsia="Times New Roman" w:hAnsi="Times New Roman" w:cs="David" w:hint="cs"/>
          <w:sz w:val="24"/>
          <w:szCs w:val="24"/>
          <w:rtl/>
        </w:rPr>
        <w:t>,</w:t>
      </w:r>
      <w:r w:rsidRPr="00DA35D2">
        <w:rPr>
          <w:rFonts w:ascii="Times New Roman" w:eastAsia="Times New Roman" w:hAnsi="Times New Roman" w:cs="David" w:hint="cs"/>
          <w:sz w:val="24"/>
          <w:szCs w:val="24"/>
          <w:rtl/>
        </w:rPr>
        <w:t xml:space="preserve"> כפי שעלתה מהראיות שהובאו בפניו.</w:t>
      </w:r>
      <w:r>
        <w:rPr>
          <w:rFonts w:ascii="Times New Roman" w:eastAsia="Times New Roman" w:hAnsi="Times New Roman" w:cs="David" w:hint="cs"/>
          <w:sz w:val="24"/>
          <w:szCs w:val="24"/>
          <w:rtl/>
        </w:rPr>
        <w:t xml:space="preserve"> </w:t>
      </w:r>
    </w:p>
    <w:p w:rsidR="000B7DE7" w:rsidRDefault="00B915DB" w:rsidP="00DA35D2">
      <w:pPr>
        <w:widowControl w:val="0"/>
        <w:spacing w:before="240" w:after="0" w:line="360" w:lineRule="auto"/>
        <w:jc w:val="both"/>
        <w:rPr>
          <w:rFonts w:ascii="Times New Roman" w:eastAsia="Times New Roman" w:hAnsi="Times New Roman" w:cs="David"/>
          <w:sz w:val="24"/>
          <w:szCs w:val="24"/>
          <w:rtl/>
        </w:rPr>
      </w:pPr>
      <w:r>
        <w:rPr>
          <w:rFonts w:ascii="David" w:hAnsi="David" w:cs="David" w:hint="cs"/>
          <w:sz w:val="24"/>
          <w:szCs w:val="24"/>
          <w:rtl/>
        </w:rPr>
        <w:t xml:space="preserve">לאור </w:t>
      </w:r>
      <w:r>
        <w:rPr>
          <w:rFonts w:ascii="Times New Roman" w:eastAsia="Times New Roman" w:hAnsi="Times New Roman" w:cs="David" w:hint="cs"/>
          <w:sz w:val="24"/>
          <w:szCs w:val="24"/>
          <w:rtl/>
        </w:rPr>
        <w:t>כל האמור הוחלט לגזור על הנאשם את העונשים הבאים:</w:t>
      </w:r>
    </w:p>
    <w:p w:rsidR="000B7DE7" w:rsidRDefault="00B915DB" w:rsidP="00DA35D2">
      <w:pPr>
        <w:spacing w:before="240" w:line="360" w:lineRule="auto"/>
        <w:jc w:val="both"/>
        <w:rPr>
          <w:rFonts w:ascii="Times New Roman" w:eastAsia="Times New Roman" w:hAnsi="Times New Roman" w:cs="David"/>
          <w:sz w:val="24"/>
          <w:szCs w:val="24"/>
          <w:rtl/>
        </w:rPr>
      </w:pPr>
      <w:r w:rsidRPr="00707D3A">
        <w:rPr>
          <w:rFonts w:ascii="Times New Roman" w:eastAsia="Times New Roman" w:hAnsi="Times New Roman" w:cs="David" w:hint="eastAsia"/>
          <w:sz w:val="24"/>
          <w:szCs w:val="24"/>
          <w:rtl/>
        </w:rPr>
        <w:t>בגין</w:t>
      </w:r>
      <w:r w:rsidRPr="00707D3A">
        <w:rPr>
          <w:rFonts w:ascii="Times New Roman" w:eastAsia="Times New Roman" w:hAnsi="Times New Roman" w:cs="David"/>
          <w:sz w:val="24"/>
          <w:szCs w:val="24"/>
          <w:rtl/>
        </w:rPr>
        <w:t xml:space="preserve"> </w:t>
      </w:r>
      <w:r w:rsidRPr="00707D3A">
        <w:rPr>
          <w:rFonts w:ascii="Times New Roman" w:eastAsia="Times New Roman" w:hAnsi="Times New Roman" w:cs="David" w:hint="eastAsia"/>
          <w:sz w:val="24"/>
          <w:szCs w:val="24"/>
          <w:rtl/>
        </w:rPr>
        <w:t>האישום</w:t>
      </w:r>
      <w:r w:rsidRPr="00707D3A">
        <w:rPr>
          <w:rFonts w:ascii="Times New Roman" w:eastAsia="Times New Roman" w:hAnsi="Times New Roman" w:cs="David"/>
          <w:sz w:val="24"/>
          <w:szCs w:val="24"/>
          <w:rtl/>
        </w:rPr>
        <w:t xml:space="preserve"> </w:t>
      </w:r>
      <w:r w:rsidRPr="00707D3A">
        <w:rPr>
          <w:rFonts w:ascii="Times New Roman" w:eastAsia="Times New Roman" w:hAnsi="Times New Roman" w:cs="David" w:hint="eastAsia"/>
          <w:sz w:val="24"/>
          <w:szCs w:val="24"/>
          <w:rtl/>
        </w:rPr>
        <w:t>הראשון</w:t>
      </w:r>
      <w:r w:rsidRPr="00707D3A">
        <w:rPr>
          <w:rFonts w:ascii="Times New Roman" w:eastAsia="Times New Roman" w:hAnsi="Times New Roman" w:cs="David"/>
          <w:sz w:val="24"/>
          <w:szCs w:val="24"/>
          <w:rtl/>
        </w:rPr>
        <w:t xml:space="preserve"> </w:t>
      </w:r>
      <w:r w:rsidR="00DA35D2">
        <w:rPr>
          <w:rFonts w:ascii="Times New Roman" w:eastAsia="Times New Roman" w:hAnsi="Times New Roman" w:cs="David" w:hint="cs"/>
          <w:sz w:val="24"/>
          <w:szCs w:val="24"/>
          <w:rtl/>
        </w:rPr>
        <w:t xml:space="preserve">- </w:t>
      </w:r>
      <w:r>
        <w:rPr>
          <w:rFonts w:ascii="Times New Roman" w:eastAsia="Times New Roman" w:hAnsi="Times New Roman" w:cs="David" w:hint="cs"/>
          <w:sz w:val="24"/>
          <w:szCs w:val="24"/>
          <w:rtl/>
        </w:rPr>
        <w:t>19</w:t>
      </w:r>
      <w:r>
        <w:rPr>
          <w:rFonts w:ascii="Times New Roman" w:eastAsia="Times New Roman" w:hAnsi="Times New Roman" w:cs="David"/>
          <w:sz w:val="24"/>
          <w:szCs w:val="24"/>
          <w:rtl/>
        </w:rPr>
        <w:t xml:space="preserve"> שנות מאסר בפועל</w:t>
      </w:r>
      <w:r>
        <w:rPr>
          <w:rFonts w:ascii="Times New Roman" w:eastAsia="Times New Roman" w:hAnsi="Times New Roman" w:cs="David" w:hint="cs"/>
          <w:sz w:val="24"/>
          <w:szCs w:val="24"/>
          <w:rtl/>
        </w:rPr>
        <w:t>;</w:t>
      </w:r>
    </w:p>
    <w:p w:rsidR="000B7DE7" w:rsidRDefault="00B915DB" w:rsidP="00DA35D2">
      <w:pPr>
        <w:spacing w:before="240" w:line="360" w:lineRule="auto"/>
        <w:jc w:val="both"/>
        <w:rPr>
          <w:rFonts w:ascii="Times New Roman" w:eastAsia="Times New Roman" w:hAnsi="Times New Roman" w:cs="David"/>
          <w:sz w:val="24"/>
          <w:szCs w:val="24"/>
          <w:rtl/>
        </w:rPr>
      </w:pPr>
      <w:r w:rsidRPr="00707D3A">
        <w:rPr>
          <w:rFonts w:ascii="Times New Roman" w:eastAsia="Times New Roman" w:hAnsi="Times New Roman" w:cs="David"/>
          <w:sz w:val="24"/>
          <w:szCs w:val="24"/>
          <w:rtl/>
        </w:rPr>
        <w:t xml:space="preserve">בגין האישום השני </w:t>
      </w:r>
      <w:r w:rsidR="00DA35D2">
        <w:rPr>
          <w:rFonts w:ascii="Times New Roman" w:eastAsia="Times New Roman" w:hAnsi="Times New Roman" w:cs="David" w:hint="cs"/>
          <w:sz w:val="24"/>
          <w:szCs w:val="24"/>
          <w:rtl/>
        </w:rPr>
        <w:t xml:space="preserve">- </w:t>
      </w:r>
      <w:r>
        <w:rPr>
          <w:rFonts w:ascii="Times New Roman" w:eastAsia="Times New Roman" w:hAnsi="Times New Roman" w:cs="David" w:hint="cs"/>
          <w:sz w:val="24"/>
          <w:szCs w:val="24"/>
          <w:rtl/>
        </w:rPr>
        <w:t>16</w:t>
      </w:r>
      <w:r w:rsidRPr="00707D3A">
        <w:rPr>
          <w:rFonts w:ascii="Times New Roman" w:eastAsia="Times New Roman" w:hAnsi="Times New Roman" w:cs="David"/>
          <w:sz w:val="24"/>
          <w:szCs w:val="24"/>
          <w:rtl/>
        </w:rPr>
        <w:t xml:space="preserve"> </w:t>
      </w:r>
      <w:r w:rsidRPr="00707D3A">
        <w:rPr>
          <w:rFonts w:ascii="Times New Roman" w:eastAsia="Times New Roman" w:hAnsi="Times New Roman" w:cs="David" w:hint="eastAsia"/>
          <w:sz w:val="24"/>
          <w:szCs w:val="24"/>
          <w:rtl/>
        </w:rPr>
        <w:t>שנות</w:t>
      </w:r>
      <w:r w:rsidRPr="00707D3A">
        <w:rPr>
          <w:rFonts w:ascii="Times New Roman" w:eastAsia="Times New Roman" w:hAnsi="Times New Roman" w:cs="David"/>
          <w:sz w:val="24"/>
          <w:szCs w:val="24"/>
          <w:rtl/>
        </w:rPr>
        <w:t xml:space="preserve"> מאסר בפועל</w:t>
      </w:r>
      <w:r>
        <w:rPr>
          <w:rFonts w:ascii="Times New Roman" w:eastAsia="Times New Roman" w:hAnsi="Times New Roman" w:cs="David" w:hint="cs"/>
          <w:sz w:val="24"/>
          <w:szCs w:val="24"/>
          <w:rtl/>
        </w:rPr>
        <w:t>;</w:t>
      </w:r>
    </w:p>
    <w:p w:rsidR="000B7DE7" w:rsidRPr="00707D3A" w:rsidRDefault="00B915DB" w:rsidP="000B7DE7">
      <w:pPr>
        <w:spacing w:before="240" w:line="360" w:lineRule="auto"/>
        <w:jc w:val="both"/>
        <w:rPr>
          <w:rFonts w:ascii="Times New Roman" w:eastAsia="Times New Roman" w:hAnsi="Times New Roman" w:cs="David"/>
          <w:sz w:val="24"/>
          <w:szCs w:val="24"/>
          <w:rtl/>
        </w:rPr>
      </w:pPr>
      <w:r w:rsidRPr="00707D3A">
        <w:rPr>
          <w:rFonts w:ascii="Times New Roman" w:eastAsia="Times New Roman" w:hAnsi="Times New Roman" w:cs="David"/>
          <w:sz w:val="24"/>
          <w:szCs w:val="24"/>
          <w:rtl/>
        </w:rPr>
        <w:t xml:space="preserve">ובגין האישום השלישי </w:t>
      </w:r>
      <w:r>
        <w:rPr>
          <w:rFonts w:ascii="Times New Roman" w:eastAsia="Times New Roman" w:hAnsi="Times New Roman" w:cs="David" w:hint="cs"/>
          <w:sz w:val="24"/>
          <w:szCs w:val="24"/>
          <w:rtl/>
        </w:rPr>
        <w:t>12 חודשי מאסר בפועל.</w:t>
      </w:r>
      <w:r w:rsidRPr="00707D3A">
        <w:rPr>
          <w:rFonts w:ascii="Times New Roman" w:eastAsia="Times New Roman" w:hAnsi="Times New Roman" w:cs="David"/>
          <w:sz w:val="24"/>
          <w:szCs w:val="24"/>
          <w:rtl/>
        </w:rPr>
        <w:t xml:space="preserve"> </w:t>
      </w:r>
    </w:p>
    <w:p w:rsidR="000B7DE7" w:rsidRDefault="00B915DB" w:rsidP="00DA35D2">
      <w:pPr>
        <w:spacing w:before="240" w:line="360" w:lineRule="auto"/>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t xml:space="preserve">נקבע כי </w:t>
      </w:r>
      <w:r w:rsidRPr="00707D3A">
        <w:rPr>
          <w:rFonts w:ascii="Times New Roman" w:eastAsia="Times New Roman" w:hAnsi="Times New Roman" w:cs="David" w:hint="eastAsia"/>
          <w:sz w:val="24"/>
          <w:szCs w:val="24"/>
          <w:rtl/>
        </w:rPr>
        <w:t>העונשים</w:t>
      </w:r>
      <w:r w:rsidRPr="00707D3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שנגזרו </w:t>
      </w:r>
      <w:r w:rsidRPr="00707D3A">
        <w:rPr>
          <w:rFonts w:ascii="Times New Roman" w:eastAsia="Times New Roman" w:hAnsi="Times New Roman" w:cs="David"/>
          <w:sz w:val="24"/>
          <w:szCs w:val="24"/>
          <w:rtl/>
        </w:rPr>
        <w:t xml:space="preserve">בגין האישום הראשון והשני ירוצו </w:t>
      </w:r>
      <w:r w:rsidRPr="00192D9C">
        <w:rPr>
          <w:rFonts w:ascii="Times New Roman" w:eastAsia="Times New Roman" w:hAnsi="Times New Roman" w:cs="David" w:hint="eastAsia"/>
          <w:sz w:val="24"/>
          <w:szCs w:val="24"/>
          <w:u w:val="single"/>
          <w:rtl/>
        </w:rPr>
        <w:t>במצטבר</w:t>
      </w:r>
      <w:r w:rsidRPr="00192D9C">
        <w:rPr>
          <w:rFonts w:ascii="Times New Roman" w:eastAsia="Times New Roman" w:hAnsi="Times New Roman" w:cs="David"/>
          <w:sz w:val="24"/>
          <w:szCs w:val="24"/>
          <w:u w:val="single"/>
          <w:rtl/>
        </w:rPr>
        <w:t xml:space="preserve"> </w:t>
      </w:r>
      <w:r w:rsidRPr="00192D9C">
        <w:rPr>
          <w:rFonts w:ascii="Times New Roman" w:eastAsia="Times New Roman" w:hAnsi="Times New Roman" w:cs="David" w:hint="cs"/>
          <w:sz w:val="24"/>
          <w:szCs w:val="24"/>
          <w:u w:val="single"/>
          <w:rtl/>
        </w:rPr>
        <w:t>זה לזה</w:t>
      </w:r>
      <w:r>
        <w:rPr>
          <w:rFonts w:ascii="Times New Roman" w:eastAsia="Times New Roman" w:hAnsi="Times New Roman" w:cs="David" w:hint="cs"/>
          <w:sz w:val="24"/>
          <w:szCs w:val="24"/>
          <w:u w:val="single"/>
          <w:rtl/>
        </w:rPr>
        <w:t xml:space="preserve">, </w:t>
      </w:r>
      <w:r>
        <w:rPr>
          <w:rFonts w:ascii="Times New Roman" w:eastAsia="Times New Roman" w:hAnsi="Times New Roman" w:cs="David" w:hint="cs"/>
          <w:sz w:val="24"/>
          <w:szCs w:val="24"/>
          <w:rtl/>
        </w:rPr>
        <w:t xml:space="preserve">נוכח חומרתם היתרה. לגבי </w:t>
      </w:r>
      <w:r w:rsidRPr="00707D3A">
        <w:rPr>
          <w:rFonts w:ascii="Times New Roman" w:eastAsia="Times New Roman" w:hAnsi="Times New Roman" w:cs="David"/>
          <w:sz w:val="24"/>
          <w:szCs w:val="24"/>
          <w:rtl/>
        </w:rPr>
        <w:t>ה</w:t>
      </w:r>
      <w:r>
        <w:rPr>
          <w:rFonts w:ascii="Times New Roman" w:eastAsia="Times New Roman" w:hAnsi="Times New Roman" w:cs="David" w:hint="cs"/>
          <w:sz w:val="24"/>
          <w:szCs w:val="24"/>
          <w:rtl/>
        </w:rPr>
        <w:t>עונש בגין ה</w:t>
      </w:r>
      <w:r w:rsidRPr="00707D3A">
        <w:rPr>
          <w:rFonts w:ascii="Times New Roman" w:eastAsia="Times New Roman" w:hAnsi="Times New Roman" w:cs="David"/>
          <w:sz w:val="24"/>
          <w:szCs w:val="24"/>
          <w:rtl/>
        </w:rPr>
        <w:t>אישום השלישי</w:t>
      </w:r>
      <w:r>
        <w:rPr>
          <w:rFonts w:ascii="Times New Roman" w:eastAsia="Times New Roman" w:hAnsi="Times New Roman" w:cs="David" w:hint="cs"/>
          <w:sz w:val="24"/>
          <w:szCs w:val="24"/>
          <w:rtl/>
        </w:rPr>
        <w:t>,</w:t>
      </w:r>
      <w:r w:rsidRPr="00707D3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החלטנו כי הוא ירוצה בחופף, זאת לאחר שמצאנו לקבל את טיעוני הסנגור בעניין זה, ביחס לכך שהנפגע המרכזי בגין המעשה היה הנאשם, אשר לו נגרמו פגיעות פיזיות קשות. </w:t>
      </w:r>
    </w:p>
    <w:p w:rsidR="000B7DE7" w:rsidRDefault="00B915DB" w:rsidP="00DA35D2">
      <w:pPr>
        <w:widowControl w:val="0"/>
        <w:spacing w:before="240" w:after="0" w:line="360" w:lineRule="auto"/>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t xml:space="preserve">לסיום </w:t>
      </w:r>
      <w:r w:rsidR="00DA35D2">
        <w:rPr>
          <w:rFonts w:ascii="Times New Roman" w:eastAsia="Times New Roman" w:hAnsi="Times New Roman" w:cs="David" w:hint="cs"/>
          <w:sz w:val="24"/>
          <w:szCs w:val="24"/>
          <w:rtl/>
        </w:rPr>
        <w:t xml:space="preserve">ציין בית המשפט, כי </w:t>
      </w:r>
      <w:r w:rsidR="00DA35D2" w:rsidRPr="00DA35D2">
        <w:rPr>
          <w:rFonts w:ascii="Times New Roman" w:eastAsia="Times New Roman" w:hAnsi="Times New Roman" w:cs="David" w:hint="cs"/>
          <w:b/>
          <w:bCs/>
          <w:sz w:val="24"/>
          <w:szCs w:val="24"/>
          <w:rtl/>
        </w:rPr>
        <w:t>"</w:t>
      </w:r>
      <w:r w:rsidRPr="00DA35D2">
        <w:rPr>
          <w:rFonts w:ascii="Times New Roman" w:eastAsia="Times New Roman" w:hAnsi="Times New Roman" w:cs="David" w:hint="cs"/>
          <w:b/>
          <w:bCs/>
          <w:sz w:val="24"/>
          <w:szCs w:val="24"/>
          <w:rtl/>
        </w:rPr>
        <w:t>תיקים רבים כבר ראינו למגינת ליבנו בשנותינו בכס השיפוט, אך קשה לזכור מקרה כמו זה בו בוצעו מעשים כה חמורים, כלפי קורבנות שונים ובמוקדים שונים, באופן כה מתוכנן ובקור רוח, מתוך רגשות נקמה ומחשבות על פגיעה באחרים; תוך התעלמות גמורה מחייהם של אחרים, מזכותם לחיים ולשלווה, ממחשבותיהם או רצונותיהם, וראייתם ככלי להשגת מטרותיו של הנאשם, והתמקדות בלעדית בצרכיו ובמחשבותיו על העוול שלכאורה נעשה רק לו, כעולה אף מדבריו בפנינו בטיעונים לעונש. ענייננו מתייחד אף בכך שכל שפורט לעיל מצביע על מסוכנות רבה של הנאשם שקיימת גם היום, ועל החשיבות להגנה על שלום הציבור בהרחקתו מהציבור לשנים ארוכות. על כן גם אם בסופו של דבר לא ראינו לנכון לחרוג בגזירת העונש ממתחם העונש ההולם, הרי גם עניין זה מחייב השתת עונש מאסר ארוך ביותר ועונשי מאסר מצטברים אשר ירחיקו את הנאשם מהציבור ויהוו עונש הולם על מכלול המעשים הקשים שביצע, במכלול הנסיבות המורכבות והייחודיות של מקרה זה</w:t>
      </w:r>
      <w:r w:rsidR="00DA35D2">
        <w:rPr>
          <w:rFonts w:ascii="Times New Roman" w:eastAsia="Times New Roman" w:hAnsi="Times New Roman" w:cs="David" w:hint="cs"/>
          <w:sz w:val="24"/>
          <w:szCs w:val="24"/>
          <w:rtl/>
        </w:rPr>
        <w:t>"</w:t>
      </w:r>
      <w:r>
        <w:rPr>
          <w:rFonts w:ascii="Times New Roman" w:eastAsia="Times New Roman" w:hAnsi="Times New Roman" w:cs="David" w:hint="cs"/>
          <w:sz w:val="24"/>
          <w:szCs w:val="24"/>
          <w:rtl/>
        </w:rPr>
        <w:t xml:space="preserve">. </w:t>
      </w:r>
    </w:p>
    <w:p w:rsidR="00327C24" w:rsidRDefault="00B915DB" w:rsidP="00DA35D2">
      <w:pPr>
        <w:widowControl w:val="0"/>
        <w:spacing w:before="240" w:after="0" w:line="360" w:lineRule="auto"/>
        <w:jc w:val="both"/>
        <w:rPr>
          <w:rFonts w:ascii="David" w:hAnsi="David" w:cs="David"/>
          <w:sz w:val="24"/>
          <w:szCs w:val="24"/>
          <w:rtl/>
        </w:rPr>
      </w:pPr>
      <w:r>
        <w:rPr>
          <w:rFonts w:ascii="Times New Roman" w:eastAsia="Times New Roman" w:hAnsi="Times New Roman" w:cs="David" w:hint="cs"/>
          <w:sz w:val="24"/>
          <w:szCs w:val="24"/>
          <w:rtl/>
        </w:rPr>
        <w:t xml:space="preserve">בסופו של דבר, </w:t>
      </w:r>
      <w:r w:rsidR="005D4C62">
        <w:rPr>
          <w:rFonts w:ascii="Times New Roman" w:eastAsia="Times New Roman" w:hAnsi="Times New Roman" w:cs="David" w:hint="cs"/>
          <w:sz w:val="24"/>
          <w:szCs w:val="24"/>
          <w:rtl/>
        </w:rPr>
        <w:t xml:space="preserve"> </w:t>
      </w:r>
      <w:r>
        <w:rPr>
          <w:rFonts w:ascii="Times New Roman" w:eastAsia="Times New Roman" w:hAnsi="Times New Roman" w:cs="David" w:hint="cs"/>
          <w:sz w:val="24"/>
          <w:szCs w:val="24"/>
          <w:rtl/>
        </w:rPr>
        <w:t>בית המשפט גזר על הנאשם מ</w:t>
      </w:r>
      <w:r w:rsidR="000B7DE7" w:rsidRPr="00707D3A">
        <w:rPr>
          <w:rFonts w:ascii="Times New Roman" w:eastAsia="Times New Roman" w:hAnsi="Times New Roman" w:cs="David"/>
          <w:sz w:val="24"/>
          <w:szCs w:val="24"/>
          <w:rtl/>
        </w:rPr>
        <w:t xml:space="preserve">אסר בפועל למשך </w:t>
      </w:r>
      <w:r w:rsidR="000B7DE7">
        <w:rPr>
          <w:rFonts w:ascii="Times New Roman" w:eastAsia="Times New Roman" w:hAnsi="Times New Roman" w:cs="David" w:hint="cs"/>
          <w:sz w:val="24"/>
          <w:szCs w:val="24"/>
          <w:rtl/>
        </w:rPr>
        <w:t>35</w:t>
      </w:r>
      <w:r>
        <w:rPr>
          <w:rFonts w:ascii="Times New Roman" w:eastAsia="Times New Roman" w:hAnsi="Times New Roman" w:cs="David"/>
          <w:sz w:val="24"/>
          <w:szCs w:val="24"/>
          <w:rtl/>
        </w:rPr>
        <w:t xml:space="preserve"> שנים בניכוי ימי מעצרו</w:t>
      </w:r>
      <w:r>
        <w:rPr>
          <w:rFonts w:ascii="Times New Roman" w:eastAsia="Times New Roman" w:hAnsi="Times New Roman" w:cs="David" w:hint="cs"/>
          <w:sz w:val="24"/>
          <w:szCs w:val="24"/>
          <w:rtl/>
        </w:rPr>
        <w:t>; מאסר על תנאי; וכן פיצוי ל</w:t>
      </w:r>
      <w:r w:rsidR="000B7DE7" w:rsidRPr="00707D3A">
        <w:rPr>
          <w:rFonts w:ascii="Times New Roman" w:eastAsia="Times New Roman" w:hAnsi="Times New Roman" w:cs="David"/>
          <w:sz w:val="24"/>
          <w:szCs w:val="24"/>
          <w:rtl/>
        </w:rPr>
        <w:t xml:space="preserve">משפחת המנוח בסך של </w:t>
      </w:r>
      <w:r w:rsidR="000B7DE7">
        <w:rPr>
          <w:rFonts w:ascii="Times New Roman" w:eastAsia="Times New Roman" w:hAnsi="Times New Roman" w:cs="David" w:hint="cs"/>
          <w:sz w:val="24"/>
          <w:szCs w:val="24"/>
          <w:rtl/>
        </w:rPr>
        <w:t>258,000</w:t>
      </w:r>
      <w:r w:rsidR="000B7DE7" w:rsidRPr="00707D3A">
        <w:rPr>
          <w:rFonts w:ascii="Times New Roman" w:eastAsia="Times New Roman" w:hAnsi="Times New Roman" w:cs="David" w:hint="eastAsia"/>
          <w:sz w:val="24"/>
          <w:szCs w:val="24"/>
          <w:rtl/>
        </w:rPr>
        <w:t>₪</w:t>
      </w:r>
      <w:r>
        <w:rPr>
          <w:rFonts w:ascii="Times New Roman" w:eastAsia="Times New Roman" w:hAnsi="Times New Roman" w:cs="David" w:hint="cs"/>
          <w:sz w:val="24"/>
          <w:szCs w:val="24"/>
          <w:rtl/>
        </w:rPr>
        <w:t xml:space="preserve">, ולמתלוננת פיצוי </w:t>
      </w:r>
      <w:r w:rsidR="000B7DE7" w:rsidRPr="00707D3A">
        <w:rPr>
          <w:rFonts w:ascii="Times New Roman" w:eastAsia="Times New Roman" w:hAnsi="Times New Roman" w:cs="David"/>
          <w:sz w:val="24"/>
          <w:szCs w:val="24"/>
          <w:rtl/>
        </w:rPr>
        <w:t xml:space="preserve">בסך של </w:t>
      </w:r>
      <w:r w:rsidR="000B7DE7">
        <w:rPr>
          <w:rFonts w:ascii="Times New Roman" w:eastAsia="Times New Roman" w:hAnsi="Times New Roman" w:cs="David" w:hint="cs"/>
          <w:sz w:val="24"/>
          <w:szCs w:val="24"/>
          <w:rtl/>
        </w:rPr>
        <w:t>150,000</w:t>
      </w:r>
      <w:r w:rsidR="000B7DE7" w:rsidRPr="00707D3A">
        <w:rPr>
          <w:rFonts w:ascii="Times New Roman" w:eastAsia="Times New Roman" w:hAnsi="Times New Roman" w:cs="David"/>
          <w:sz w:val="24"/>
          <w:szCs w:val="24"/>
          <w:rtl/>
        </w:rPr>
        <w:t xml:space="preserve"> ₪</w:t>
      </w:r>
    </w:p>
    <w:p w:rsidR="00B915DB" w:rsidRDefault="00B915DB" w:rsidP="00DA35D2">
      <w:pPr>
        <w:widowControl w:val="0"/>
        <w:spacing w:before="240" w:after="0" w:line="360" w:lineRule="auto"/>
        <w:jc w:val="both"/>
        <w:rPr>
          <w:rFonts w:ascii="David" w:hAnsi="David" w:cs="David"/>
          <w:sz w:val="24"/>
          <w:szCs w:val="24"/>
          <w:rtl/>
        </w:rPr>
      </w:pPr>
    </w:p>
    <w:p w:rsidR="008549CD" w:rsidRPr="00EC7E00" w:rsidRDefault="008549CD" w:rsidP="008549CD">
      <w:pPr>
        <w:suppressLineNumbers/>
        <w:spacing w:line="360" w:lineRule="auto"/>
        <w:jc w:val="center"/>
        <w:rPr>
          <w:rFonts w:ascii="Arial" w:hAnsi="Arial"/>
          <w:b/>
          <w:bCs/>
          <w:color w:val="44546A" w:themeColor="text2"/>
          <w:rtl/>
        </w:rPr>
      </w:pPr>
      <w:r w:rsidRPr="00EC7E00">
        <w:rPr>
          <w:rFonts w:ascii="Arial" w:hAnsi="Arial"/>
          <w:b/>
          <w:bCs/>
          <w:color w:val="44546A" w:themeColor="text2"/>
          <w:rtl/>
        </w:rPr>
        <w:t>*** התקציר אינו בא להחליף את פסק-הדין, הנוסח המחייב הוא זה של פסק-הדין המלא ***</w:t>
      </w:r>
    </w:p>
    <w:p w:rsidR="008549CD" w:rsidRPr="00327C24" w:rsidRDefault="008549CD" w:rsidP="00DA35D2">
      <w:pPr>
        <w:widowControl w:val="0"/>
        <w:spacing w:before="240" w:after="0" w:line="360" w:lineRule="auto"/>
        <w:jc w:val="both"/>
        <w:rPr>
          <w:rFonts w:ascii="David" w:hAnsi="David" w:cs="David"/>
          <w:sz w:val="24"/>
          <w:szCs w:val="24"/>
        </w:rPr>
      </w:pPr>
    </w:p>
    <w:sectPr w:rsidR="008549CD" w:rsidRPr="00327C24" w:rsidSect="001012C8">
      <w:headerReference w:type="default" r:id="rId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608" w:rsidRDefault="00823608" w:rsidP="008549CD">
      <w:pPr>
        <w:spacing w:after="0" w:line="240" w:lineRule="auto"/>
      </w:pPr>
      <w:r>
        <w:separator/>
      </w:r>
    </w:p>
  </w:endnote>
  <w:endnote w:type="continuationSeparator" w:id="0">
    <w:p w:rsidR="00823608" w:rsidRDefault="00823608" w:rsidP="00854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608" w:rsidRDefault="00823608" w:rsidP="008549CD">
      <w:pPr>
        <w:spacing w:after="0" w:line="240" w:lineRule="auto"/>
      </w:pPr>
      <w:r>
        <w:separator/>
      </w:r>
    </w:p>
  </w:footnote>
  <w:footnote w:type="continuationSeparator" w:id="0">
    <w:p w:rsidR="00823608" w:rsidRDefault="00823608" w:rsidP="008549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9CD" w:rsidRDefault="008549CD" w:rsidP="008549CD">
    <w:pPr>
      <w:pStyle w:val="a5"/>
      <w:jc w:val="center"/>
      <w:rPr>
        <w:rFonts w:cs="FrankRuehl"/>
        <w:sz w:val="28"/>
        <w:szCs w:val="28"/>
        <w:rtl/>
      </w:rPr>
    </w:pPr>
    <w:r>
      <w:rPr>
        <w:rFonts w:cs="FrankRuehl"/>
        <w:noProof/>
        <w:sz w:val="28"/>
        <w:szCs w:val="28"/>
      </w:rPr>
      <w:drawing>
        <wp:inline distT="0" distB="0" distL="0" distR="0" wp14:anchorId="07B19C8E" wp14:editId="43CFA4D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8549CD" w:rsidTr="00F304CE">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tcPr>
            <w:p w:rsidR="008549CD" w:rsidRPr="00F038D8" w:rsidRDefault="008549CD" w:rsidP="008549CD">
              <w:pPr>
                <w:pStyle w:val="a5"/>
                <w:jc w:val="center"/>
                <w:rPr>
                  <w:rFonts w:ascii="Tahoma" w:hAnsi="Tahoma"/>
                  <w:color w:val="000080"/>
                  <w:sz w:val="32"/>
                  <w:szCs w:val="32"/>
                  <w:rtl/>
                </w:rPr>
              </w:pPr>
              <w:r w:rsidRPr="00F038D8">
                <w:rPr>
                  <w:rFonts w:ascii="Tahoma" w:hAnsi="Tahoma"/>
                  <w:color w:val="000080"/>
                  <w:sz w:val="32"/>
                  <w:szCs w:val="32"/>
                  <w:rtl/>
                </w:rPr>
                <w:t>בית המשפט המחוזי בבאר שבע</w:t>
              </w:r>
            </w:p>
          </w:tc>
        </w:sdtContent>
      </w:sdt>
    </w:tr>
  </w:tbl>
  <w:p w:rsidR="008549CD" w:rsidRPr="008549CD" w:rsidRDefault="008549C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948"/>
    <w:rsid w:val="00044557"/>
    <w:rsid w:val="000B7DE7"/>
    <w:rsid w:val="0010012E"/>
    <w:rsid w:val="001012C8"/>
    <w:rsid w:val="00192D9C"/>
    <w:rsid w:val="00194E20"/>
    <w:rsid w:val="00327C24"/>
    <w:rsid w:val="003E5F18"/>
    <w:rsid w:val="004D6A2D"/>
    <w:rsid w:val="005D4C62"/>
    <w:rsid w:val="006A74C8"/>
    <w:rsid w:val="00707D3A"/>
    <w:rsid w:val="00823608"/>
    <w:rsid w:val="008549CD"/>
    <w:rsid w:val="00880018"/>
    <w:rsid w:val="008833DE"/>
    <w:rsid w:val="008D3FA2"/>
    <w:rsid w:val="00905DE2"/>
    <w:rsid w:val="00A9794F"/>
    <w:rsid w:val="00AA30D9"/>
    <w:rsid w:val="00AB7810"/>
    <w:rsid w:val="00B23CB2"/>
    <w:rsid w:val="00B665AF"/>
    <w:rsid w:val="00B672D3"/>
    <w:rsid w:val="00B915DB"/>
    <w:rsid w:val="00CD5326"/>
    <w:rsid w:val="00CF6774"/>
    <w:rsid w:val="00D37825"/>
    <w:rsid w:val="00DA35D2"/>
    <w:rsid w:val="00F36948"/>
    <w:rsid w:val="00F463BC"/>
    <w:rsid w:val="00FA39EC"/>
    <w:rsid w:val="00FE3C1E"/>
    <w:rsid w:val="00FF1FEC"/>
    <w:rsid w:val="00FF3A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0EE0BC-E5FE-4C53-8427-E15AC048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35D2"/>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DA35D2"/>
    <w:rPr>
      <w:rFonts w:ascii="Tahoma" w:hAnsi="Tahoma" w:cs="Tahoma"/>
      <w:sz w:val="18"/>
      <w:szCs w:val="18"/>
    </w:rPr>
  </w:style>
  <w:style w:type="paragraph" w:styleId="a5">
    <w:name w:val="header"/>
    <w:basedOn w:val="a"/>
    <w:link w:val="a6"/>
    <w:unhideWhenUsed/>
    <w:rsid w:val="008549CD"/>
    <w:pPr>
      <w:tabs>
        <w:tab w:val="center" w:pos="4153"/>
        <w:tab w:val="right" w:pos="8306"/>
      </w:tabs>
      <w:spacing w:after="0" w:line="240" w:lineRule="auto"/>
    </w:pPr>
  </w:style>
  <w:style w:type="character" w:customStyle="1" w:styleId="a6">
    <w:name w:val="כותרת עליונה תו"/>
    <w:basedOn w:val="a0"/>
    <w:link w:val="a5"/>
    <w:uiPriority w:val="99"/>
    <w:rsid w:val="008549CD"/>
  </w:style>
  <w:style w:type="paragraph" w:styleId="a7">
    <w:name w:val="footer"/>
    <w:basedOn w:val="a"/>
    <w:link w:val="a8"/>
    <w:uiPriority w:val="99"/>
    <w:unhideWhenUsed/>
    <w:rsid w:val="008549CD"/>
    <w:pPr>
      <w:tabs>
        <w:tab w:val="center" w:pos="4153"/>
        <w:tab w:val="right" w:pos="8306"/>
      </w:tabs>
      <w:spacing w:after="0" w:line="240" w:lineRule="auto"/>
    </w:pPr>
  </w:style>
  <w:style w:type="character" w:customStyle="1" w:styleId="a8">
    <w:name w:val="כותרת תחתונה תו"/>
    <w:basedOn w:val="a0"/>
    <w:link w:val="a7"/>
    <w:uiPriority w:val="99"/>
    <w:rsid w:val="00854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750</Words>
  <Characters>3753</Characters>
  <Application>Microsoft Office Word</Application>
  <DocSecurity>0</DocSecurity>
  <Lines>31</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2023-07-13T11:33:00Z</dcterms:created>
  <dcterms:modified xsi:type="dcterms:W3CDTF">2023-07-13T11:33:00Z</dcterms:modified>
</cp:coreProperties>
</file>